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Enron Compression Services</w:t>
      </w:r>
    </w:p>
    <w:p>
      <w:pPr>
        <w:pStyle w:val="Heading2"/>
        <w:ind w:hanging="0" w:start="0"/>
        <w:rPr>
          <w:sz w:val="24"/>
        </w:rPr>
      </w:pPr>
      <w:r>
        <w:rPr>
          <w:sz w:val="24"/>
        </w:rPr>
        <w:t>Crestone Energy Ventures, L.L.C.</w:t>
      </w:r>
    </w:p>
    <w:p>
      <w:pPr>
        <w:pStyle w:val="Heading2"/>
        <w:ind w:hanging="0" w:start="0"/>
        <w:rPr>
          <w:sz w:val="24"/>
        </w:rPr>
      </w:pPr>
      <w:r>
        <w:rPr>
          <w:sz w:val="24"/>
        </w:rPr>
      </w:r>
    </w:p>
    <w:p>
      <w:pPr>
        <w:pStyle w:val="Heading2"/>
        <w:ind w:hanging="0" w:start="0"/>
        <w:rPr>
          <w:sz w:val="24"/>
        </w:rPr>
      </w:pPr>
      <w:r>
        <w:rPr>
          <w:sz w:val="24"/>
        </w:rPr>
        <w:t xml:space="preserve">Non-Binding Term Sheet Proposal </w:t>
      </w:r>
    </w:p>
    <w:p>
      <w:pPr>
        <w:pStyle w:val="Heading7"/>
        <w:ind w:hanging="0" w:start="0"/>
        <w:rPr>
          <w:sz w:val="24"/>
        </w:rPr>
      </w:pPr>
      <w:r>
        <w:rPr>
          <w:sz w:val="24"/>
        </w:rPr>
        <w:t>Pararie Dog Compressor Station – Sheridan, Wyoming</w:t>
      </w:r>
    </w:p>
    <w:p>
      <w:pPr>
        <w:pStyle w:val="Heading7"/>
        <w:ind w:hanging="0" w:start="0"/>
        <w:rPr>
          <w:sz w:val="24"/>
        </w:rPr>
      </w:pPr>
      <w:r>
        <w:rPr>
          <w:sz w:val="24"/>
        </w:rPr>
        <w:t>August 22, 2001</w:t>
      </w:r>
    </w:p>
    <w:p>
      <w:pPr>
        <w:pStyle w:val="Heading9"/>
        <w:ind w:hanging="0" w:start="0"/>
        <w:rPr>
          <w:b/>
          <w:bCs/>
          <w:sz w:val="24"/>
          <w:u w:val="single"/>
        </w:rPr>
      </w:pPr>
      <w:r>
        <w:rPr>
          <w:b/>
          <w:bCs/>
          <w:sz w:val="24"/>
          <w:u w:val="single"/>
        </w:rPr>
      </w:r>
    </w:p>
    <w:p>
      <w:pPr>
        <w:pStyle w:val="Normal"/>
        <w:rPr>
          <w:b/>
          <w:bCs/>
          <w:u w:val="single"/>
        </w:rPr>
      </w:pPr>
      <w:r>
        <w:rPr>
          <w:b/>
          <w:bCs/>
          <w:u w:val="single"/>
        </w:rPr>
      </w:r>
    </w:p>
    <w:p>
      <w:pPr>
        <w:pStyle w:val="Heading9"/>
        <w:ind w:hanging="0" w:start="0"/>
        <w:rPr>
          <w:b/>
          <w:bCs/>
          <w:u w:val="single"/>
        </w:rPr>
      </w:pPr>
      <w:r>
        <w:rPr>
          <w:b/>
          <w:bCs/>
          <w:u w:val="single"/>
        </w:rPr>
        <w:t>Summary</w:t>
      </w:r>
    </w:p>
    <w:p>
      <w:pPr>
        <w:pStyle w:val="BodyText3"/>
        <w:rPr/>
      </w:pPr>
      <w:r>
        <w:rPr/>
        <w:t>Enron Compression Services Company (“ECS”) is proposing a structured service to satisfy the compression requirements associated with the compression project at the Prairie Dog compressor station in Sheridan, Wyoming.  The commercial terms included herein are based on the installation, operation and maintenance of 7,000 electrically driven brake horsepower utilizing reciprocating compressor packages.</w:t>
      </w:r>
    </w:p>
    <w:p>
      <w:pPr>
        <w:pStyle w:val="Normal"/>
        <w:jc w:val="both"/>
        <w:rPr>
          <w:sz w:val="22"/>
        </w:rPr>
      </w:pPr>
      <w:r>
        <w:rPr>
          <w:sz w:val="22"/>
        </w:rPr>
      </w:r>
    </w:p>
    <w:p>
      <w:pPr>
        <w:pStyle w:val="BodyText3"/>
        <w:rPr/>
      </w:pPr>
      <w:r>
        <w:rPr/>
        <w:t>This proposal is based on a total capital cost of $5,822,850 to be funded by Crestone Energy Ventures, L.L.C., for the purchase of:</w:t>
      </w:r>
    </w:p>
    <w:p>
      <w:pPr>
        <w:pStyle w:val="Normal"/>
        <w:numPr>
          <w:ilvl w:val="0"/>
          <w:numId w:val="2"/>
        </w:numPr>
        <w:jc w:val="both"/>
        <w:rPr>
          <w:sz w:val="22"/>
        </w:rPr>
      </w:pPr>
      <w:r>
        <w:rPr>
          <w:sz w:val="22"/>
        </w:rPr>
        <w:t>Two (2) 3,500 horsepower electric motor driven reciprocating compressors;</w:t>
      </w:r>
    </w:p>
    <w:p>
      <w:pPr>
        <w:pStyle w:val="Normal"/>
        <w:numPr>
          <w:ilvl w:val="0"/>
          <w:numId w:val="2"/>
        </w:numPr>
        <w:jc w:val="both"/>
        <w:rPr>
          <w:sz w:val="22"/>
        </w:rPr>
      </w:pPr>
      <w:r>
        <w:rPr>
          <w:sz w:val="22"/>
        </w:rPr>
        <w:t>One (1) 10 MVA substation complete with breakers, switches, etc.;</w:t>
      </w:r>
    </w:p>
    <w:p>
      <w:pPr>
        <w:pStyle w:val="Normal"/>
        <w:numPr>
          <w:ilvl w:val="0"/>
          <w:numId w:val="2"/>
        </w:numPr>
        <w:jc w:val="both"/>
        <w:rPr>
          <w:sz w:val="22"/>
        </w:rPr>
      </w:pPr>
      <w:r>
        <w:rPr>
          <w:sz w:val="22"/>
        </w:rPr>
        <w:t>A new compressor building cover;</w:t>
      </w:r>
    </w:p>
    <w:p>
      <w:pPr>
        <w:pStyle w:val="Normal"/>
        <w:numPr>
          <w:ilvl w:val="0"/>
          <w:numId w:val="2"/>
        </w:numPr>
        <w:jc w:val="both"/>
        <w:rPr>
          <w:sz w:val="22"/>
        </w:rPr>
      </w:pPr>
      <w:r>
        <w:rPr>
          <w:sz w:val="22"/>
        </w:rPr>
        <w:t>The modification of existing piping tie-ins to the existing header;</w:t>
      </w:r>
    </w:p>
    <w:p>
      <w:pPr>
        <w:pStyle w:val="Normal"/>
        <w:numPr>
          <w:ilvl w:val="0"/>
          <w:numId w:val="2"/>
        </w:numPr>
        <w:jc w:val="both"/>
        <w:rPr>
          <w:sz w:val="22"/>
        </w:rPr>
      </w:pPr>
      <w:r>
        <w:rPr>
          <w:sz w:val="22"/>
        </w:rPr>
        <w:t xml:space="preserve">A power control room; and </w:t>
      </w:r>
    </w:p>
    <w:p>
      <w:pPr>
        <w:pStyle w:val="Normal"/>
        <w:numPr>
          <w:ilvl w:val="0"/>
          <w:numId w:val="2"/>
        </w:numPr>
        <w:jc w:val="both"/>
        <w:rPr>
          <w:sz w:val="22"/>
        </w:rPr>
      </w:pPr>
      <w:r>
        <w:rPr>
          <w:sz w:val="22"/>
        </w:rPr>
        <w:t xml:space="preserve">A five (5) mile 69 kv transmission line.  </w:t>
      </w:r>
    </w:p>
    <w:p>
      <w:pPr>
        <w:pStyle w:val="BodyTextIndent3"/>
        <w:rPr>
          <w:sz w:val="22"/>
        </w:rPr>
      </w:pPr>
      <w:r>
        <w:rPr>
          <w:sz w:val="22"/>
        </w:rPr>
      </w:r>
    </w:p>
    <w:p>
      <w:pPr>
        <w:pStyle w:val="BodyTextIndent3"/>
        <w:rPr/>
      </w:pPr>
      <w:r>
        <w:rPr/>
        <w:t xml:space="preserve">The capital cost has been minimized by the exclusion of a variable frequency drive due to the fact that Crestone plans to utilize the electric compression for base load operations.  </w:t>
      </w:r>
    </w:p>
    <w:p>
      <w:pPr>
        <w:pStyle w:val="Normal"/>
        <w:jc w:val="both"/>
        <w:rPr>
          <w:sz w:val="22"/>
        </w:rPr>
      </w:pPr>
      <w:r>
        <w:rPr>
          <w:sz w:val="22"/>
        </w:rPr>
      </w:r>
    </w:p>
    <w:p>
      <w:pPr>
        <w:pStyle w:val="BodyText3"/>
        <w:rPr/>
      </w:pPr>
      <w:r>
        <w:rPr/>
        <w:t>The services provided by ECS would result in a two-part compensation structure, a natural gas payment, called the “Service Charge” and a cash payment, called the “Annual Charge”.  The “Service Charge” is structured to have the appearance of a gas-fired driver’s fuel consumption at optimal efficiencies.  The fuel consumption is based in part on the historical actual utilization of the equipment.  The “Service Charge” is established to provide for electric power variable cost recovery.  The “Annual Charge” is designed to accommodate fixed cost recovery and other components of the bundled service.</w:t>
      </w:r>
    </w:p>
    <w:p>
      <w:pPr>
        <w:pStyle w:val="Normal"/>
        <w:jc w:val="both"/>
        <w:rPr>
          <w:sz w:val="22"/>
        </w:rPr>
      </w:pPr>
      <w:r>
        <w:rPr>
          <w:sz w:val="22"/>
        </w:rPr>
      </w:r>
    </w:p>
    <w:p>
      <w:pPr>
        <w:pStyle w:val="Heading5"/>
        <w:ind w:hanging="0" w:start="0"/>
        <w:jc w:val="both"/>
        <w:rPr>
          <w:b/>
          <w:bCs/>
          <w:sz w:val="24"/>
        </w:rPr>
      </w:pPr>
      <w:r>
        <w:rPr>
          <w:b/>
          <w:bCs/>
          <w:sz w:val="24"/>
        </w:rPr>
        <w:t>Commercial Terms</w:t>
      </w:r>
    </w:p>
    <w:p>
      <w:pPr>
        <w:pStyle w:val="BodyText3"/>
        <w:rPr/>
      </w:pPr>
      <w:r>
        <w:rPr/>
        <w:t>The terms described in this document are non-binding and reflect anticipated costs for capital expenditures as well as electrical power. The final terms of this proposal would be based on the final scope of the project, the actual project costs, and current market pricing for natural gas and power.</w:t>
      </w:r>
    </w:p>
    <w:p>
      <w:pPr>
        <w:pStyle w:val="Normal"/>
        <w:jc w:val="both"/>
        <w:rPr>
          <w:sz w:val="22"/>
        </w:rPr>
      </w:pPr>
      <w:r>
        <w:rPr>
          <w:sz w:val="22"/>
        </w:rPr>
      </w:r>
    </w:p>
    <w:p>
      <w:pPr>
        <w:pStyle w:val="Heading5"/>
        <w:ind w:hanging="0" w:start="0"/>
        <w:jc w:val="both"/>
        <w:rPr>
          <w:b/>
          <w:bCs/>
          <w:sz w:val="24"/>
        </w:rPr>
      </w:pPr>
      <w:r>
        <w:rPr>
          <w:b/>
          <w:bCs/>
          <w:sz w:val="24"/>
        </w:rPr>
        <w:t>Contract Term</w:t>
      </w:r>
    </w:p>
    <w:p>
      <w:pPr>
        <w:pStyle w:val="Normal"/>
        <w:jc w:val="both"/>
        <w:rPr>
          <w:sz w:val="22"/>
        </w:rPr>
      </w:pPr>
      <w:r>
        <w:rPr>
          <w:sz w:val="22"/>
        </w:rPr>
        <w:t xml:space="preserve">The duration of the proposed transaction to purchase shaft horsepower from ECS is 10-years, beginning June 1, 2002 and ending May 31, 2012. </w:t>
      </w:r>
    </w:p>
    <w:p>
      <w:pPr>
        <w:pStyle w:val="Normal"/>
        <w:jc w:val="both"/>
        <w:rPr>
          <w:sz w:val="22"/>
        </w:rPr>
      </w:pPr>
      <w:r>
        <w:rPr>
          <w:sz w:val="22"/>
        </w:rPr>
      </w:r>
    </w:p>
    <w:p>
      <w:pPr>
        <w:pStyle w:val="Heading5"/>
        <w:ind w:hanging="0" w:start="0"/>
        <w:jc w:val="both"/>
        <w:rPr>
          <w:b/>
          <w:bCs/>
          <w:sz w:val="24"/>
        </w:rPr>
      </w:pPr>
      <w:r>
        <w:rPr>
          <w:b/>
          <w:bCs/>
          <w:sz w:val="24"/>
        </w:rPr>
        <w:t>Ownership</w:t>
      </w:r>
    </w:p>
    <w:p>
      <w:pPr>
        <w:pStyle w:val="BodyText"/>
        <w:jc w:val="both"/>
        <w:rPr/>
      </w:pPr>
      <w:r>
        <w:rPr/>
        <w:t xml:space="preserve">ECS would arrange for the equipment and construction of the transmission line into the station, the electrical substation to regulate the transmission grade voltage, the compression package and the installation of the building cover for the electric compression facility.  </w:t>
      </w:r>
    </w:p>
    <w:p>
      <w:pPr>
        <w:pStyle w:val="BodyText"/>
        <w:jc w:val="both"/>
        <w:rPr/>
      </w:pPr>
      <w:r>
        <w:rPr/>
      </w:r>
    </w:p>
    <w:p>
      <w:pPr>
        <w:pStyle w:val="BodyText"/>
        <w:jc w:val="both"/>
        <w:rPr/>
      </w:pPr>
      <w:r>
        <w:rPr/>
        <w:t xml:space="preserve">Crestone would have and maintain ownership of the electric motor driven compressors, the substation, the compressor building cover and the power control room.  Crestone would contribute the 5-mile 69 kv transmission line to Powder River Energy Cooperative, who would assume ownership of and liability for the transmission line. </w:t>
      </w:r>
    </w:p>
    <w:p>
      <w:pPr>
        <w:pStyle w:val="BodyText"/>
        <w:jc w:val="both"/>
        <w:rPr/>
      </w:pPr>
      <w:r>
        <w:rPr/>
      </w:r>
    </w:p>
    <w:p>
      <w:pPr>
        <w:pStyle w:val="BodyText"/>
        <w:jc w:val="both"/>
        <w:rPr/>
      </w:pPr>
      <w:r>
        <w:rPr/>
        <w:t xml:space="preserve">ECS would lease the electrical drive train from Crestone for an annual rate of $36,000.  Crestone would provide all surface easement and rights-of-way for the project other than the power line facilities. </w:t>
      </w:r>
    </w:p>
    <w:p>
      <w:pPr>
        <w:pStyle w:val="BodyText"/>
        <w:jc w:val="both"/>
        <w:rPr>
          <w:u w:val="single"/>
        </w:rPr>
      </w:pPr>
      <w:r>
        <w:rPr>
          <w:u w:val="single"/>
        </w:rPr>
      </w:r>
    </w:p>
    <w:p>
      <w:pPr>
        <w:pStyle w:val="BodyText"/>
        <w:jc w:val="both"/>
        <w:rPr>
          <w:b/>
          <w:bCs/>
          <w:sz w:val="24"/>
          <w:u w:val="single"/>
        </w:rPr>
      </w:pPr>
      <w:r>
        <w:rPr>
          <w:b/>
          <w:bCs/>
          <w:sz w:val="24"/>
          <w:u w:val="single"/>
        </w:rPr>
        <w:t>Operation and Maintenance</w:t>
      </w:r>
    </w:p>
    <w:p>
      <w:pPr>
        <w:pStyle w:val="BodyText"/>
        <w:jc w:val="both"/>
        <w:rPr/>
      </w:pPr>
      <w:r>
        <w:rPr/>
        <w:t xml:space="preserve">ECS would provide for ongoing maintenance associated with the “electrical drive train”.  Crestone would have the option to operate the “electrical drive train” for a fee from ECS.  Otherwise, ECS would provide operation and maintenance services by a mutually agreeable third party operator for the electrical drive train.  Crestone would operate and control the remainder of the station.  </w:t>
      </w:r>
    </w:p>
    <w:p>
      <w:pPr>
        <w:pStyle w:val="BodyText"/>
        <w:jc w:val="both"/>
        <w:rPr/>
      </w:pPr>
      <w:r>
        <w:rPr/>
      </w:r>
    </w:p>
    <w:p>
      <w:pPr>
        <w:pStyle w:val="Heading5"/>
        <w:ind w:hanging="0" w:start="0"/>
        <w:jc w:val="both"/>
        <w:rPr>
          <w:b/>
          <w:bCs/>
          <w:sz w:val="24"/>
        </w:rPr>
      </w:pPr>
      <w:r>
        <w:rPr>
          <w:b/>
          <w:bCs/>
          <w:sz w:val="24"/>
        </w:rPr>
        <w:t>Delivery of HP – Hours</w:t>
      </w:r>
    </w:p>
    <w:p>
      <w:pPr>
        <w:pStyle w:val="BodyText3"/>
        <w:rPr/>
      </w:pPr>
      <w:r>
        <w:rPr/>
        <w:t>The physical shaft between the electric motor and the compressor would serve as the point of delivery of Hp – Hours.  Monthly Hp – Hour usage would be determined by measurement of the KWh usage at the primary meter and then applying the following formula:</w:t>
      </w:r>
    </w:p>
    <w:p>
      <w:pPr>
        <w:pStyle w:val="Normal"/>
        <w:jc w:val="both"/>
        <w:rPr>
          <w:sz w:val="22"/>
        </w:rPr>
      </w:pPr>
      <w:r>
        <w:rPr>
          <w:sz w:val="22"/>
        </w:rPr>
      </w:r>
    </w:p>
    <w:p>
      <w:pPr>
        <w:pStyle w:val="BodyText3"/>
        <w:rPr/>
      </w:pPr>
      <w:r>
        <w:rPr/>
        <w:tab/>
        <w:t>(Total Monthly Kilowatt Hour Usage from the Primary Meter) x (1.341 HP/Kilowatt)</w:t>
      </w:r>
    </w:p>
    <w:p>
      <w:pPr>
        <w:pStyle w:val="Normal"/>
        <w:jc w:val="both"/>
        <w:rPr>
          <w:sz w:val="22"/>
        </w:rPr>
      </w:pPr>
      <w:r>
        <w:rPr>
          <w:sz w:val="22"/>
        </w:rPr>
      </w:r>
    </w:p>
    <w:p>
      <w:pPr>
        <w:pStyle w:val="Heading5"/>
        <w:ind w:hanging="0" w:start="0"/>
        <w:jc w:val="both"/>
        <w:rPr>
          <w:b/>
          <w:bCs/>
          <w:sz w:val="24"/>
        </w:rPr>
      </w:pPr>
      <w:r>
        <w:rPr>
          <w:b/>
          <w:bCs/>
          <w:sz w:val="24"/>
        </w:rPr>
        <w:t>Service Charge</w:t>
      </w:r>
    </w:p>
    <w:p>
      <w:pPr>
        <w:pStyle w:val="Normal"/>
        <w:jc w:val="both"/>
        <w:rPr/>
      </w:pPr>
      <w:r>
        <w:rPr>
          <w:sz w:val="22"/>
        </w:rPr>
        <w:t xml:space="preserve">Crestone would deliver gas volumes to ECS on a monthly basis at a defined delivery point meter, CIG – Glenrock, for the delivery of HP-Hours.  Gas volumes delivered to ECS are based on a Btu/HP-Hour rate of 8,250, assuming a minimum monthly load factor of </w:t>
      </w:r>
      <w:r>
        <w:rPr>
          <w:color w:val="FF0000"/>
          <w:sz w:val="22"/>
        </w:rPr>
        <w:t>75%</w:t>
      </w:r>
      <w:r>
        <w:rPr>
          <w:sz w:val="22"/>
        </w:rPr>
        <w:t xml:space="preserve">.  Monthly usage below 75% would require delivery of gas volumes based on the </w:t>
      </w:r>
      <w:r>
        <w:rPr>
          <w:color w:val="FF0000"/>
          <w:sz w:val="22"/>
        </w:rPr>
        <w:t>75%</w:t>
      </w:r>
      <w:r>
        <w:rPr>
          <w:sz w:val="22"/>
        </w:rPr>
        <w:t xml:space="preserve"> minimum load factor.  </w:t>
      </w:r>
    </w:p>
    <w:p>
      <w:pPr>
        <w:pStyle w:val="Normal"/>
        <w:jc w:val="both"/>
        <w:rPr>
          <w:sz w:val="22"/>
        </w:rPr>
      </w:pPr>
      <w:r>
        <w:rPr>
          <w:sz w:val="22"/>
        </w:rPr>
      </w:r>
    </w:p>
    <w:p>
      <w:pPr>
        <w:pStyle w:val="Normal"/>
        <w:jc w:val="both"/>
        <w:rPr>
          <w:b/>
          <w:bCs/>
          <w:sz w:val="22"/>
        </w:rPr>
      </w:pPr>
      <w:r>
        <w:rPr>
          <w:b/>
          <w:bCs/>
          <w:sz w:val="22"/>
        </w:rPr>
        <w:t>Monthly MMBTU Delivery Formula</w:t>
      </w:r>
    </w:p>
    <w:p>
      <w:pPr>
        <w:pStyle w:val="BodyText3"/>
        <w:rPr/>
      </w:pPr>
      <w:r>
        <w:rPr/>
        <w:t>[(Monthly Primary Meter KWhs)*(1.341 Hp/KW)*(8,250 Btu/HP-Hour)]/1,000,000 = MMBtus for monthly delivery to ECS</w:t>
      </w:r>
    </w:p>
    <w:p>
      <w:pPr>
        <w:pStyle w:val="Normal"/>
        <w:jc w:val="both"/>
        <w:rPr/>
      </w:pPr>
      <w:r>
        <w:rPr/>
      </w:r>
    </w:p>
    <w:p>
      <w:pPr>
        <w:pStyle w:val="Normal"/>
        <w:jc w:val="both"/>
        <w:rPr/>
      </w:pPr>
      <w:r>
        <w:rPr/>
        <w:drawing>
          <wp:anchor behindDoc="0" distT="0" distB="0" distL="114935" distR="114935" simplePos="0" locked="0" layoutInCell="0" allowOverlap="1" relativeHeight="2">
            <wp:simplePos x="0" y="0"/>
            <wp:positionH relativeFrom="column">
              <wp:posOffset>1714500</wp:posOffset>
            </wp:positionH>
            <wp:positionV relativeFrom="paragraph">
              <wp:posOffset>67945</wp:posOffset>
            </wp:positionV>
            <wp:extent cx="3000375" cy="257365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 t="-12" r="-10" b="-12"/>
                    <a:stretch>
                      <a:fillRect/>
                    </a:stretch>
                  </pic:blipFill>
                  <pic:spPr bwMode="auto">
                    <a:xfrm>
                      <a:off x="0" y="0"/>
                      <a:ext cx="3000375" cy="2573655"/>
                    </a:xfrm>
                    <a:prstGeom prst="rect">
                      <a:avLst/>
                    </a:prstGeom>
                    <a:noFill/>
                  </pic:spPr>
                </pic:pic>
              </a:graphicData>
            </a:graphic>
          </wp:anchor>
        </w:drawing>
      </w:r>
    </w:p>
    <w:p>
      <w:pPr>
        <w:pStyle w:val="Heading5"/>
        <w:ind w:hanging="0" w:start="0"/>
        <w:jc w:val="both"/>
        <w:rPr>
          <w:b/>
          <w:bCs/>
        </w:rPr>
      </w:pPr>
      <w:r>
        <w:rPr>
          <w:b/>
          <w:bCs/>
        </w:rPr>
      </w:r>
    </w:p>
    <w:p>
      <w:pPr>
        <w:pStyle w:val="Heading5"/>
        <w:ind w:hanging="0" w:start="0"/>
        <w:jc w:val="both"/>
        <w:rPr>
          <w:b/>
          <w:bCs/>
          <w:u w:val="none"/>
        </w:rPr>
      </w:pPr>
      <w:r>
        <w:rPr>
          <w:b/>
          <w:bCs/>
          <w:u w:val="none"/>
        </w:rPr>
        <w:t>Options for Usage Above Minimum Load Factor</w:t>
      </w:r>
    </w:p>
    <w:p>
      <w:pPr>
        <w:pStyle w:val="BodyText3"/>
        <w:spacing w:before="0" w:after="40"/>
        <w:rPr/>
      </w:pPr>
      <w:r>
        <w:rPr/>
        <w:t xml:space="preserve">As previously stated, the terms of this agreement are based on a minimum load factor of 75%.  In the event that the actual load factor exceeds 75%, Crestone may elect to pay a variable charge of </w:t>
      </w:r>
      <w:r>
        <w:rPr>
          <w:color w:val="FF0000"/>
        </w:rPr>
        <w:t>$.02663</w:t>
      </w:r>
      <w:r>
        <w:rPr/>
        <w:t xml:space="preserve">/HP-Hr for any incremental gas volume fluctuations.  The variable charge would be paid in cash, only for volume fluctuations actually realized.  </w:t>
      </w:r>
    </w:p>
    <w:p>
      <w:pPr>
        <w:pStyle w:val="Normal"/>
        <w:jc w:val="both"/>
        <w:rPr>
          <w:sz w:val="22"/>
        </w:rPr>
      </w:pPr>
      <w:r>
        <w:rPr>
          <w:sz w:val="22"/>
        </w:rPr>
      </w:r>
    </w:p>
    <w:p>
      <w:pPr>
        <w:pStyle w:val="Heading5"/>
        <w:ind w:hanging="0" w:start="0"/>
        <w:jc w:val="both"/>
        <w:rPr>
          <w:b/>
          <w:bCs/>
          <w:sz w:val="24"/>
        </w:rPr>
      </w:pPr>
      <w:r>
        <w:rPr>
          <w:b/>
          <w:bCs/>
          <w:sz w:val="24"/>
        </w:rPr>
        <w:t>Annual Charge</w:t>
      </w:r>
    </w:p>
    <w:p>
      <w:pPr>
        <w:pStyle w:val="BodyText3"/>
        <w:rPr/>
      </w:pPr>
      <w:r>
        <w:rPr/>
        <w:t>Crestone would also pay ECS cash compensation of $595,000 annually for fixed cost recovery over the contract term of 10 years. Equal monthly payments of $49,583 would be established to cover all maintenance costs, fixed power costs, taxes and other expenses not covered by the natural gas payment or “Service Charge”.</w:t>
      </w:r>
    </w:p>
    <w:p>
      <w:pPr>
        <w:pStyle w:val="Normal"/>
        <w:spacing w:before="0" w:after="40"/>
        <w:jc w:val="both"/>
        <w:rPr>
          <w:sz w:val="22"/>
        </w:rPr>
      </w:pPr>
      <w:r>
        <w:rPr>
          <w:sz w:val="22"/>
        </w:rPr>
      </w:r>
    </w:p>
    <w:p>
      <w:pPr>
        <w:pStyle w:val="Normal"/>
        <w:spacing w:before="0" w:after="40"/>
        <w:jc w:val="both"/>
        <w:rPr>
          <w:b/>
          <w:bCs/>
          <w:sz w:val="24"/>
          <w:u w:val="single"/>
        </w:rPr>
      </w:pPr>
      <w:r>
        <w:rPr>
          <w:b/>
          <w:bCs/>
          <w:sz w:val="24"/>
          <w:u w:val="single"/>
        </w:rPr>
        <w:t>Powder River Energy Tariff Changes</w:t>
      </w:r>
    </w:p>
    <w:p>
      <w:pPr>
        <w:pStyle w:val="BodyText3"/>
        <w:spacing w:before="0" w:after="40"/>
        <w:rPr/>
      </w:pPr>
      <w:r>
        <w:rPr/>
        <w:t>Any increases, decreases, or changes in the Powder River Energy Cooperative 2001 (Large Power Transmission) LPT electric tariff would be passed through to Crestone.  Future changes of the LPT tariff would be compared to the existing 2001 LPT tariff with the following implications:</w:t>
      </w:r>
    </w:p>
    <w:p>
      <w:pPr>
        <w:pStyle w:val="BodyText3"/>
        <w:numPr>
          <w:ilvl w:val="0"/>
          <w:numId w:val="3"/>
        </w:numPr>
        <w:spacing w:before="0" w:after="40"/>
        <w:rPr>
          <w:b/>
          <w:bCs/>
        </w:rPr>
      </w:pPr>
      <w:r>
        <w:rPr/>
        <w:t>Any increases in the electric charges resulting from the LPT tariff, over the 2001 LPT tariff, would be paid to ECS through a monthly cash reimbursement.</w:t>
      </w:r>
    </w:p>
    <w:p>
      <w:pPr>
        <w:pStyle w:val="BodyText3"/>
        <w:numPr>
          <w:ilvl w:val="0"/>
          <w:numId w:val="3"/>
        </w:numPr>
        <w:spacing w:before="0" w:after="40"/>
        <w:rPr>
          <w:b/>
          <w:bCs/>
        </w:rPr>
      </w:pPr>
      <w:r>
        <w:rPr/>
        <w:t>Any decreases in electric charges resulting from the LPT tariff, below the 2001 LPT tariff, would paid to Crestone through a monthly cash reimbursement.</w:t>
      </w:r>
    </w:p>
    <w:p>
      <w:pPr>
        <w:pStyle w:val="Heading5"/>
        <w:ind w:hanging="0" w:start="0"/>
        <w:jc w:val="both"/>
        <w:rPr>
          <w:b/>
          <w:bCs/>
        </w:rPr>
      </w:pPr>
      <w:r>
        <w:rPr>
          <w:b/>
          <w:bCs/>
        </w:rPr>
      </w:r>
    </w:p>
    <w:p>
      <w:pPr>
        <w:pStyle w:val="Heading5"/>
        <w:ind w:hanging="0" w:start="0"/>
        <w:jc w:val="both"/>
        <w:rPr>
          <w:b/>
          <w:bCs/>
          <w:sz w:val="24"/>
        </w:rPr>
      </w:pPr>
      <w:r>
        <w:rPr>
          <w:b/>
          <w:bCs/>
          <w:sz w:val="24"/>
        </w:rPr>
        <w:t>Exclusivity Clause</w:t>
      </w:r>
    </w:p>
    <w:p>
      <w:pPr>
        <w:pStyle w:val="BodyText"/>
        <w:rPr/>
      </w:pPr>
      <w:r>
        <w:rPr/>
        <w:t xml:space="preserve">In consideration of the provisions of this Term Sheet and the time, effort, and expense incurred by Enron Compression Services and Crestone Energy Ventures, L.L.C. (“The Parties”), and their respective co-workers in investigating the Transaction, each Party agrees that for a period beginning on the date of this Term Sheet and </w:t>
      </w:r>
      <w:r>
        <w:rPr>
          <w:color w:val="FF0000"/>
        </w:rPr>
        <w:t>ending on the earlier to occur of (i) the execution of a Definitive Agreement(s) or (ii) December 31, 2001</w:t>
      </w:r>
      <w:r>
        <w:rPr/>
        <w:t xml:space="preserve">, such Party will not solicit discussions or engage in negotiations with any other person or entity as to matters that are within the intended purpose and scope of this transaction.  After such time, each Party shall be free independently to pursue such transactions.  </w:t>
      </w:r>
      <w:r>
        <w:rPr>
          <w:color w:val="FF0000"/>
        </w:rPr>
        <w:t>In the event that Crestone Energy Ventures, L.L.C.  elects to infringe on the exclusivity clause presented herein, Crestone would remit a breakage fee of $500,000 to Enron Compression Services.</w:t>
      </w:r>
    </w:p>
    <w:p>
      <w:pPr>
        <w:pStyle w:val="Normal"/>
        <w:rPr>
          <w:color w:val="FF0000"/>
        </w:rPr>
      </w:pPr>
      <w:r>
        <w:rPr>
          <w:color w:val="FF0000"/>
        </w:rPr>
      </w:r>
    </w:p>
    <w:p>
      <w:pPr>
        <w:pStyle w:val="Heading5"/>
        <w:ind w:hanging="0" w:start="0"/>
        <w:jc w:val="both"/>
        <w:rPr>
          <w:b/>
          <w:bCs/>
          <w:sz w:val="24"/>
        </w:rPr>
      </w:pPr>
      <w:r>
        <w:rPr>
          <w:b/>
          <w:bCs/>
          <w:sz w:val="24"/>
        </w:rPr>
        <w:t>Force Majeure</w:t>
      </w:r>
    </w:p>
    <w:p>
      <w:pPr>
        <w:pStyle w:val="BodyText3"/>
        <w:rPr/>
      </w:pPr>
      <w:r>
        <w:rPr/>
        <w:t>The following general terms would be incorporated into any definitive agreement concerning the subject matter of this proposal.  The term “force majeure” shall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electric transmission lines or lines of pipe, freezing of electric transmission lines or lines of pipe, any force majeure claim by any electricity supplier to the Seller for the operation of the Power Train, or any other causes, whether of the kind herein enumerated or otherwise, not at the time involved, not reasonable within the control of the party claiming suspension;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jc w:val="both"/>
        <w:rPr>
          <w:sz w:val="22"/>
        </w:rPr>
      </w:pPr>
      <w:r>
        <w:rPr>
          <w:sz w:val="22"/>
        </w:rPr>
      </w:r>
    </w:p>
    <w:p>
      <w:pPr>
        <w:pStyle w:val="Normal"/>
        <w:jc w:val="both"/>
        <w:rPr>
          <w:sz w:val="22"/>
        </w:rPr>
      </w:pPr>
      <w:r>
        <w:rPr>
          <w:sz w:val="22"/>
        </w:rPr>
      </w:r>
    </w:p>
    <w:p>
      <w:pPr>
        <w:pStyle w:val="BodyText2"/>
        <w:jc w:val="both"/>
        <w:rPr/>
      </w:pPr>
      <w:r>
        <w:rPr/>
        <w:t>THIS PROPOSAL AND TERM SHEET ARE FOR DISCUSSION PURPOSES ONLY TO FACILITATE THE NEGOTIATION, AND PREPARATION AND EXECUTION OF A DEFINITIVE AGREEMENT.  THIS PROPOSAL AND TERM SHEET ARE NOT AN OFFER OR COMMITMENT BY ECS OR ANY AFFILIATE OF ENRON CORP.   ALL PRICES AND TERMS ARE SUBJECT TO CHANGE UNTIL SUCH TIME WHEN A DEFINITIVE AGREEMENT MAY BE SIGNED.  THIS PROPOSAL AND TERM SHEET IS NOT INTENDED TO CREATE A BINDING OR ENFORCABLE AGREEMENT OR CONTRACT OR TO BE COMPLETE AND INCLUSIVE OF ALL THE TERMS OF THE SUBJECT TRANSACTION.  FURTHERMORE, THIS PROPOSAL AND TERM SHEET IS NOT A COMMITMENT OR AGREEMENT TO ENTER INTO A BINDING AGREEMENT OR CONTRACT IN THE FUTURE.</w:t>
      </w:r>
    </w:p>
    <w:p>
      <w:pPr>
        <w:pStyle w:val="BodyText2"/>
        <w:jc w:val="both"/>
        <w:rPr/>
      </w:pPr>
      <w:r>
        <w:rPr/>
      </w:r>
    </w:p>
    <w:p>
      <w:pPr>
        <w:pStyle w:val="BodyText2"/>
        <w:jc w:val="both"/>
        <w:rPr>
          <w:b w:val="false"/>
          <w:sz w:val="24"/>
        </w:rPr>
      </w:pPr>
      <w:r>
        <w:rPr>
          <w:sz w:val="24"/>
          <w:u w:val="single"/>
        </w:rPr>
        <w:t>Contact Information</w:t>
      </w:r>
    </w:p>
    <w:p>
      <w:pPr>
        <w:pStyle w:val="BodyText2"/>
        <w:spacing w:before="0" w:after="40"/>
        <w:jc w:val="both"/>
        <w:rPr>
          <w:b w:val="false"/>
        </w:rPr>
      </w:pPr>
      <w:r>
        <w:rPr>
          <w:b w:val="false"/>
        </w:rPr>
        <w:t>Andrew Miles</w:t>
      </w:r>
    </w:p>
    <w:p>
      <w:pPr>
        <w:pStyle w:val="BodyText2"/>
        <w:spacing w:before="0" w:after="40"/>
        <w:jc w:val="both"/>
        <w:rPr>
          <w:b w:val="false"/>
        </w:rPr>
      </w:pPr>
      <w:r>
        <w:rPr>
          <w:b w:val="false"/>
        </w:rPr>
        <w:t>Enron Compression Services</w:t>
      </w:r>
    </w:p>
    <w:p>
      <w:pPr>
        <w:pStyle w:val="BodyText2"/>
        <w:spacing w:before="0" w:after="40"/>
        <w:jc w:val="both"/>
        <w:rPr>
          <w:b w:val="false"/>
        </w:rPr>
      </w:pPr>
      <w:r>
        <w:rPr>
          <w:b w:val="false"/>
        </w:rPr>
        <w:t>713-853-0314</w:t>
      </w:r>
    </w:p>
    <w:p>
      <w:pPr>
        <w:pStyle w:val="BodyText2"/>
        <w:spacing w:before="0" w:after="40"/>
        <w:jc w:val="both"/>
        <w:rPr>
          <w:b w:val="false"/>
        </w:rPr>
      </w:pPr>
      <w:r>
        <w:rPr>
          <w:b w:val="false"/>
        </w:rPr>
        <w:t>1400 Smith Street, Houston, TX 77002-7361</w:t>
      </w:r>
    </w:p>
    <w:p>
      <w:pPr>
        <w:pStyle w:val="BodyText2"/>
        <w:spacing w:before="0" w:after="40"/>
        <w:jc w:val="both"/>
        <w:rPr>
          <w:b w:val="false"/>
        </w:rPr>
      </w:pPr>
      <w:r>
        <w:rPr>
          <w:b w:val="false"/>
        </w:rPr>
        <w:t>P.O. Box 1188, Houston, TX 77251-1188</w:t>
      </w:r>
    </w:p>
    <w:p>
      <w:pPr>
        <w:pStyle w:val="BodyText2"/>
        <w:jc w:val="both"/>
        <w:rPr>
          <w:b w:val="false"/>
        </w:rPr>
      </w:pPr>
      <w:r>
        <w:rPr>
          <w:b w:val="false"/>
        </w:rPr>
      </w:r>
    </w:p>
    <w:p>
      <w:pPr>
        <w:pStyle w:val="Normal"/>
        <w:jc w:val="both"/>
        <w:rPr>
          <w:color w:val="0000FF"/>
          <w:sz w:val="22"/>
        </w:rPr>
      </w:pPr>
      <w:r>
        <w:rPr>
          <w:color w:val="0000FF"/>
          <w:sz w:val="22"/>
        </w:rPr>
      </w:r>
    </w:p>
    <w:p>
      <w:pPr>
        <w:pStyle w:val="Normal"/>
        <w:jc w:val="both"/>
        <w:rPr>
          <w:color w:val="0000FF"/>
          <w:sz w:val="22"/>
        </w:rPr>
      </w:pPr>
      <w:r>
        <w:rPr>
          <w:color w:val="0000FF"/>
          <w:sz w:val="22"/>
        </w:rPr>
      </w:r>
    </w:p>
    <w:p>
      <w:pPr>
        <w:pStyle w:val="Normal"/>
        <w:jc w:val="both"/>
        <w:rPr>
          <w:color w:val="0000FF"/>
          <w:sz w:val="22"/>
        </w:rPr>
      </w:pPr>
      <w:r>
        <w:rPr>
          <w:color w:val="0000FF"/>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sectPr>
      <w:footerReference w:type="default" r:id="rId3"/>
      <w:type w:val="nextPage"/>
      <w:pgSz w:w="12240" w:h="15840"/>
      <w:pgMar w:left="1440" w:right="1440" w:gutter="0" w:header="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Page </w:t>
    </w:r>
    <w:r>
      <w:rPr/>
      <w:fldChar w:fldCharType="begin"/>
    </w:r>
    <w:r>
      <w:rPr/>
      <w:instrText xml:space="preserve"> PAGE </w:instrText>
    </w:r>
    <w:r>
      <w:rPr/>
      <w:fldChar w:fldCharType="separate"/>
    </w:r>
    <w:r>
      <w:rPr/>
      <w:t>4</w:t>
    </w:r>
    <w:r>
      <w:rPr/>
      <w:fldChar w:fldCharType="end"/>
    </w:r>
    <w:r>
      <w:rPr/>
      <w:t xml:space="preserve"> of </w:t>
    </w:r>
    <w:r>
      <w:rPr/>
      <w:fldChar w:fldCharType="begin"/>
    </w:r>
    <w:r>
      <w:rPr/>
      <w:instrText xml:space="preserve"> NUMPAGES \* ARABIC </w:instrText>
    </w:r>
    <w:r>
      <w:rPr/>
      <w:fldChar w:fldCharType="separate"/>
    </w:r>
    <w:r>
      <w:rPr/>
      <w:t>4</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360"/>
      </w:pPr>
    </w:lvl>
  </w:abstractNum>
  <w:abstractNum w:abstractNumId="3">
    <w:lvl w:ilvl="0">
      <w:start w:val="1"/>
      <w:numFmt w:val="upperLetter"/>
      <w:lvlText w:val="%1."/>
      <w:lvlJc w:val="start"/>
      <w:pPr>
        <w:tabs>
          <w:tab w:val="num" w:pos="765"/>
        </w:tabs>
        <w:ind w:start="765" w:hanging="40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outlineLvl w:val="3"/>
    </w:pPr>
    <w:rPr>
      <w:sz w:val="28"/>
      <w:u w:val="single"/>
    </w:rPr>
  </w:style>
  <w:style w:type="paragraph" w:styleId="Heading5">
    <w:name w:val="heading 5"/>
    <w:basedOn w:val="Normal"/>
    <w:next w:val="Normal"/>
    <w:qFormat/>
    <w:pPr>
      <w:keepNext w:val="true"/>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sz w:val="22"/>
      <w:u w:val="single"/>
    </w:rPr>
  </w:style>
  <w:style w:type="paragraph" w:styleId="Heading7">
    <w:name w:val="heading 7"/>
    <w:basedOn w:val="Normal"/>
    <w:next w:val="Normal"/>
    <w:qFormat/>
    <w:pPr>
      <w:keepNext w:val="true"/>
      <w:numPr>
        <w:ilvl w:val="6"/>
        <w:numId w:val="1"/>
      </w:numPr>
      <w:jc w:val="center"/>
      <w:outlineLvl w:val="6"/>
    </w:pPr>
    <w:rPr>
      <w:b/>
      <w:sz w:val="22"/>
    </w:rPr>
  </w:style>
  <w:style w:type="paragraph" w:styleId="Heading8">
    <w:name w:val="heading 8"/>
    <w:basedOn w:val="Normal"/>
    <w:next w:val="Normal"/>
    <w:qFormat/>
    <w:pPr>
      <w:keepNext w:val="true"/>
      <w:numPr>
        <w:ilvl w:val="7"/>
        <w:numId w:val="1"/>
      </w:numPr>
      <w:jc w:val="center"/>
      <w:outlineLvl w:val="7"/>
    </w:pPr>
    <w:rPr>
      <w:sz w:val="24"/>
    </w:rPr>
  </w:style>
  <w:style w:type="paragraph" w:styleId="Heading9">
    <w:name w:val="heading 9"/>
    <w:basedOn w:val="Normal"/>
    <w:next w:val="Normal"/>
    <w:qFormat/>
    <w:pPr>
      <w:keepNext w:val="true"/>
      <w:numPr>
        <w:ilvl w:val="8"/>
        <w:numId w:val="1"/>
      </w:numPr>
      <w:jc w:val="both"/>
      <w:outlineLvl w:val="8"/>
    </w:pPr>
    <w:rPr>
      <w:sz w:val="24"/>
    </w:rPr>
  </w:style>
  <w:style w:type="character" w:styleId="WW8Num1z0">
    <w:name w:val="WW8Num1z0"/>
    <w:qFormat/>
    <w:rPr>
      <w:b/>
      <w:i w:val="false"/>
    </w:rPr>
  </w:style>
  <w:style w:type="character" w:styleId="WW8Num1z2">
    <w:name w:val="WW8Num1z2"/>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ofFigures">
    <w:name w:val="Table of Figures"/>
    <w:basedOn w:val="Normal"/>
    <w:next w:val="Normal"/>
    <w:qFormat/>
    <w:pPr>
      <w:ind w:hanging="400" w:start="400" w:end="0"/>
    </w:pPr>
    <w:rPr/>
  </w:style>
  <w:style w:type="paragraph" w:styleId="BodyText2">
    <w:name w:val="Body Text 2"/>
    <w:basedOn w:val="Normal"/>
    <w:qFormat/>
    <w:pPr/>
    <w:rPr>
      <w:b/>
      <w:sz w:val="22"/>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40" w:end="0"/>
      <w:jc w:val="both"/>
    </w:pPr>
    <w:rPr>
      <w:color w:val="0000FF"/>
      <w:sz w:val="22"/>
    </w:rPr>
  </w:style>
  <w:style w:type="paragraph" w:styleId="BodyTextIndent2">
    <w:name w:val="Body Text Indent 2"/>
    <w:basedOn w:val="Normal"/>
    <w:qFormat/>
    <w:pPr>
      <w:ind w:hanging="540" w:start="540" w:end="0"/>
      <w:jc w:val="both"/>
    </w:pPr>
    <w:rPr>
      <w:color w:val="FF0000"/>
    </w:rPr>
  </w:style>
  <w:style w:type="paragraph" w:styleId="BodyTextIndent3">
    <w:name w:val="Body Text Indent 3"/>
    <w:basedOn w:val="Normal"/>
    <w:qFormat/>
    <w:pPr>
      <w:ind w:hanging="0" w:start="60" w:end="0"/>
      <w:jc w:val="both"/>
    </w:pPr>
    <w:rPr>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2001-08-20T15:11:00Z</dcterms:created>
  <dc:creator>mknippa</dc:creator>
  <dc:description/>
  <dc:language>en-CA</dc:language>
  <cp:lastModifiedBy>jkiani</cp:lastModifiedBy>
  <cp:lastPrinted>2001-08-20T16:55:00Z</cp:lastPrinted>
  <dcterms:modified xsi:type="dcterms:W3CDTF">2001-08-21T00:23:00Z</dcterms:modified>
  <cp:revision>40</cp:revision>
  <dc:subject/>
  <dc:title>INTRODUCTION</dc:title>
</cp:coreProperties>
</file>