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[CRESCENDO ENERGY, LLC letterhead]</w:t>
      </w:r>
    </w:p>
    <w:p>
      <w:pPr>
        <w:pStyle w:val="Normal"/>
        <w:jc w:val="center"/>
        <w:rPr/>
      </w:pPr>
      <w:r>
        <w:rPr/>
      </w:r>
    </w:p>
    <w:p>
      <w:pPr>
        <w:pStyle w:val="Normal"/>
        <w:jc w:val="center"/>
        <w:rPr/>
      </w:pPr>
      <w:r>
        <w:rPr/>
      </w:r>
    </w:p>
    <w:p>
      <w:pPr>
        <w:pStyle w:val="Normal"/>
        <w:jc w:val="center"/>
        <w:rPr/>
      </w:pPr>
      <w:r>
        <w:rPr/>
      </w:r>
    </w:p>
    <w:p>
      <w:pPr>
        <w:pStyle w:val="Normal"/>
        <w:jc w:val="center"/>
        <w:rPr/>
      </w:pPr>
      <w:r>
        <w:rPr/>
        <w:t>December 8, 2000</w:t>
      </w:r>
    </w:p>
    <w:p>
      <w:pPr>
        <w:pStyle w:val="Normal"/>
        <w:rPr/>
      </w:pPr>
      <w:r>
        <w:rPr/>
      </w:r>
    </w:p>
    <w:p>
      <w:pPr>
        <w:pStyle w:val="Normal"/>
        <w:rPr/>
      </w:pPr>
      <w:r>
        <w:rPr/>
      </w:r>
    </w:p>
    <w:p>
      <w:pPr>
        <w:pStyle w:val="Normal"/>
        <w:jc w:val="both"/>
        <w:rPr/>
      </w:pPr>
      <w:r>
        <w:rPr/>
      </w:r>
    </w:p>
    <w:p>
      <w:pPr>
        <w:pStyle w:val="Normal"/>
        <w:jc w:val="both"/>
        <w:rPr/>
      </w:pPr>
      <w:r>
        <w:rPr/>
        <w:t>Entrada Energy Ventures,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Re:</w:t>
        <w:tab/>
        <w:t>Overriding Royalty Interest in Certain Leases covering Land in Utah</w:t>
      </w:r>
    </w:p>
    <w:p>
      <w:pPr>
        <w:pStyle w:val="Normal"/>
        <w:jc w:val="both"/>
        <w:rPr/>
      </w:pPr>
      <w:r>
        <w:rPr/>
      </w:r>
    </w:p>
    <w:p>
      <w:pPr>
        <w:pStyle w:val="Normal"/>
        <w:jc w:val="both"/>
        <w:rPr/>
      </w:pPr>
      <w:r>
        <w:rPr/>
        <w:t>Ladies and Gentlemen:</w:t>
      </w:r>
    </w:p>
    <w:p>
      <w:pPr>
        <w:pStyle w:val="Normal"/>
        <w:jc w:val="both"/>
        <w:rPr/>
      </w:pPr>
      <w:r>
        <w:rPr/>
      </w:r>
    </w:p>
    <w:p>
      <w:pPr>
        <w:pStyle w:val="BodyText"/>
        <w:rPr/>
      </w:pPr>
      <w:r>
        <w:rPr/>
        <w:tab/>
        <w:t xml:space="preserve">Pursuant to a Conveyance of Overriding Royalty Interest (the “Conveyance”) dated effective August 31, 2000, Crescendo Energy, LLC (“Grantor”) conveyed an overriding royalty interest to Entrada Energy Ventures, L.L.C. (“Grantee”) in certain oil and gas leases covering certain lands in Utah.  Capitalized terms used but not defined herein shall have the meanings assigned to them in the Conveyance.  In connection with the Conveyance, Grantor and Grantee entered into a Production and Delivery Agreement (the “Production and Delivery Agreement”) also dated effective August 31, 2000.  Pursuant to the terms of the Conveyance and the Production and Delivery Agreement, the Overriding Royalty Gas is to be delivered by Grantor to Grantee at Meter No. 56 at the interconnection of the Wildhorse Energy Partners, LLC (“Wildhorse”) Gathering System and the Northwest Pipeline Corp. pipeline (the “Northwest Delivery Point”).  Wildhorse has refused to transport gas produced from the Subject Interests in the month of December, 2000, to the Northwest Delivery Point.  </w:t>
      </w:r>
    </w:p>
    <w:p>
      <w:pPr>
        <w:pStyle w:val="Normal"/>
        <w:jc w:val="both"/>
        <w:rPr/>
      </w:pPr>
      <w:r>
        <w:rPr/>
      </w:r>
    </w:p>
    <w:p>
      <w:pPr>
        <w:pStyle w:val="Normal"/>
        <w:jc w:val="both"/>
        <w:rPr/>
      </w:pPr>
      <w:r>
        <w:rPr/>
        <w:tab/>
        <w:t>Grantor and Grantee agree that for so long in December, 2000, as Wildhorse refuses to transport the Overriding Royalty Gas to the Northwest Delivery Point, Crescendo shall cause such Overriding Royalty Gas to be delivered to Grantee, or to the credit of Grantee, into the facilities of Questar Pipeline Co. (“Questar”) at Meter No. 124 at the interconnection of the Wildhorse Gathering System and the Questar pipeline (the “Questar Delivery Point”).  The quantity (expressed in MMBtus) of Overriding Royalty Gas that is delivered to Grantee on any Day in December, 2000, at the Questar Delivery Point rather than the Northwest Delivery Point is referred to herein as a “Diverted Quantity.”  With respect to each Day in December, 2000, that any Overriding Royalty Gas is delivered to the Questar Delivery Point, Grantor shall pay to Grantee an amount equal to the product (the “Product”) of the Diverted Quantity for such Day multiplied by the sum of (i) the actual applicable transport and fuel charges per MMBtu incurred for such Day in the transport of the Diverted Quantity from the Questar Delivery Point to an interconnection of the Questar pipeline and the NorthWest Pipeline Corp. pipeline (the “Questar Transport Fees”) plus (ii) the Price Differential for such Day.  All amounts payable by Grantor under this paragraph shall be payable on or before the last day of January</w:t>
      </w:r>
      <w:r>
        <w:rPr>
          <w:u w:val="single"/>
        </w:rPr>
        <w:t>,</w:t>
      </w:r>
      <w:r>
        <w:rPr/>
        <w:t xml:space="preserve"> 2001.  For the purposes hereof, “Price Differential” means the difference, if any, between $5.97 (December Inside FERC NW Pipeline minus $0.04) minus the actual price per MMBtu received by Grantee for the Diverted Quantity on such Day.  In the event the Product is a negative number, such amount shall be paid by Grantee to Grantor promptly following the last day of January, 2001.</w:t>
      </w:r>
    </w:p>
    <w:p>
      <w:pPr>
        <w:pStyle w:val="Normal"/>
        <w:jc w:val="both"/>
        <w:rPr/>
      </w:pPr>
      <w:r>
        <w:rPr/>
      </w:r>
    </w:p>
    <w:p>
      <w:pPr>
        <w:pStyle w:val="BodyTextIndent"/>
        <w:rPr/>
      </w:pPr>
      <w:r>
        <w:rPr/>
        <w:t>Grantor and Grantee also agree that disbursements for payments due to Grantor as described above may be made from the $600,000 deposited in Account No. 35807783863 at The Chase Manhattan Bank, then transferred to Chase Securities Vista Account No. 340112 pursuant to the letter agreement dated October 10, 2000, between Grantor and Grantee.</w:t>
      </w:r>
    </w:p>
    <w:p>
      <w:pPr>
        <w:pStyle w:val="Normal"/>
        <w:jc w:val="both"/>
        <w:rPr/>
      </w:pPr>
      <w:r>
        <w:rPr/>
      </w:r>
    </w:p>
    <w:p>
      <w:pPr>
        <w:pStyle w:val="Normal"/>
        <w:jc w:val="both"/>
        <w:rPr/>
      </w:pPr>
      <w:r>
        <w:rPr/>
        <w:tab/>
        <w:t>If this letter correctly sets forth your understanding of the agreement we have have made with respect to the matters set forth herein, please execute and return one copy of this letter.</w:t>
      </w:r>
    </w:p>
    <w:p>
      <w:pPr>
        <w:pStyle w:val="Normal"/>
        <w:jc w:val="both"/>
        <w:rPr/>
      </w:pPr>
      <w:r>
        <w:rPr/>
      </w:r>
    </w:p>
    <w:p>
      <w:pPr>
        <w:pStyle w:val="Normal"/>
        <w:jc w:val="both"/>
        <w:rPr/>
      </w:pPr>
      <w:r>
        <w:rPr/>
        <w:tab/>
        <w:tab/>
        <w:tab/>
        <w:tab/>
        <w:tab/>
        <w:tab/>
        <w:tab/>
        <w:t>Yours truly,</w:t>
      </w:r>
    </w:p>
    <w:p>
      <w:pPr>
        <w:pStyle w:val="Normal"/>
        <w:jc w:val="both"/>
        <w:rPr/>
      </w:pPr>
      <w:r>
        <w:rPr/>
      </w:r>
    </w:p>
    <w:p>
      <w:pPr>
        <w:pStyle w:val="Normal"/>
        <w:jc w:val="both"/>
        <w:rPr/>
      </w:pPr>
      <w:r>
        <w:rPr/>
        <w:tab/>
        <w:tab/>
        <w:tab/>
        <w:tab/>
        <w:tab/>
        <w:tab/>
        <w:tab/>
        <w:t>CRESCENDO ENERGY, LLC</w:t>
      </w:r>
    </w:p>
    <w:p>
      <w:pPr>
        <w:pStyle w:val="Normal"/>
        <w:jc w:val="both"/>
        <w:rPr/>
      </w:pPr>
      <w:r>
        <w:rPr/>
      </w:r>
    </w:p>
    <w:p>
      <w:pPr>
        <w:pStyle w:val="Normal"/>
        <w:jc w:val="both"/>
        <w:rPr/>
      </w:pPr>
      <w:r>
        <w:rPr/>
        <w:tab/>
        <w:tab/>
        <w:tab/>
        <w:tab/>
        <w:tab/>
        <w:tab/>
        <w:tab/>
        <w:t>By:</w:t>
        <w:tab/>
        <w:t>Crescendo Energy Partners, LLC,</w:t>
      </w:r>
    </w:p>
    <w:p>
      <w:pPr>
        <w:pStyle w:val="Normal"/>
        <w:jc w:val="both"/>
        <w:rPr/>
      </w:pPr>
      <w:r>
        <w:rPr/>
        <w:tab/>
        <w:tab/>
        <w:tab/>
        <w:tab/>
        <w:tab/>
        <w:tab/>
        <w:tab/>
        <w:tab/>
        <w:t>its Managing Member</w:t>
      </w:r>
    </w:p>
    <w:p>
      <w:pPr>
        <w:pStyle w:val="Normal"/>
        <w:jc w:val="both"/>
        <w:rPr/>
      </w:pPr>
      <w:r>
        <w:rPr/>
      </w:r>
    </w:p>
    <w:p>
      <w:pPr>
        <w:pStyle w:val="Normal"/>
        <w:jc w:val="both"/>
        <w:rPr/>
      </w:pPr>
      <w:r>
        <w:rPr/>
        <w:tab/>
        <w:tab/>
        <w:tab/>
        <w:tab/>
        <w:tab/>
        <w:tab/>
        <w:tab/>
        <w:tab/>
        <w:t xml:space="preserve">By: </w:t>
      </w:r>
      <w:r>
        <w:rPr>
          <w:u w:val="single"/>
        </w:rPr>
        <w:tab/>
        <w:tab/>
        <w:tab/>
        <w:tab/>
        <w:tab/>
      </w:r>
    </w:p>
    <w:p>
      <w:pPr>
        <w:pStyle w:val="Normal"/>
        <w:jc w:val="both"/>
        <w:rPr/>
      </w:pPr>
      <w:r>
        <w:rPr/>
        <w:tab/>
        <w:tab/>
        <w:tab/>
        <w:tab/>
        <w:tab/>
        <w:tab/>
        <w:tab/>
        <w:tab/>
        <w:t>Name:</w:t>
      </w:r>
      <w:r>
        <w:rPr>
          <w:u w:val="single"/>
        </w:rPr>
        <w:tab/>
        <w:tab/>
        <w:tab/>
        <w:tab/>
        <w:tab/>
      </w:r>
    </w:p>
    <w:p>
      <w:pPr>
        <w:pStyle w:val="Normal"/>
        <w:jc w:val="both"/>
        <w:rPr/>
      </w:pPr>
      <w:r>
        <w:rPr/>
        <w:tab/>
        <w:tab/>
        <w:tab/>
        <w:tab/>
        <w:tab/>
        <w:tab/>
        <w:tab/>
        <w:tab/>
        <w:t>Title:</w:t>
      </w:r>
      <w:r>
        <w:rPr>
          <w:u w:val="single"/>
        </w:rPr>
        <w:tab/>
        <w:tab/>
        <w:tab/>
        <w:tab/>
        <w:tab/>
      </w:r>
      <w:r>
        <w:rPr/>
        <w:tab/>
        <w:tab/>
        <w:tab/>
        <w:tab/>
        <w:tab/>
        <w:tab/>
        <w:tab/>
        <w:tab/>
      </w:r>
    </w:p>
    <w:p>
      <w:pPr>
        <w:pStyle w:val="Normal"/>
        <w:jc w:val="both"/>
        <w:rPr/>
      </w:pPr>
      <w:r>
        <w:rPr/>
      </w:r>
    </w:p>
    <w:p>
      <w:pPr>
        <w:pStyle w:val="Normal"/>
        <w:jc w:val="both"/>
        <w:rPr/>
      </w:pPr>
      <w:r>
        <w:rPr/>
        <w:t>Accepted and Agreed to:</w:t>
      </w:r>
    </w:p>
    <w:p>
      <w:pPr>
        <w:pStyle w:val="Normal"/>
        <w:jc w:val="both"/>
        <w:rPr/>
      </w:pPr>
      <w:r>
        <w:rPr/>
      </w:r>
    </w:p>
    <w:p>
      <w:pPr>
        <w:pStyle w:val="Normal"/>
        <w:jc w:val="both"/>
        <w:rPr/>
      </w:pPr>
      <w:r>
        <w:rPr/>
        <w:t>ENTRADA ENERGY VENTURES, L.L.C.</w:t>
      </w:r>
    </w:p>
    <w:p>
      <w:pPr>
        <w:pStyle w:val="Normal"/>
        <w:jc w:val="both"/>
        <w:rPr/>
      </w:pPr>
      <w:r>
        <w:rPr/>
      </w:r>
    </w:p>
    <w:p>
      <w:pPr>
        <w:pStyle w:val="Normal"/>
        <w:jc w:val="both"/>
        <w:rPr/>
      </w:pPr>
      <w:r>
        <w:rPr/>
        <w:t xml:space="preserve">By: </w:t>
      </w:r>
      <w:r>
        <w:rPr>
          <w:u w:val="single"/>
        </w:rPr>
        <w:tab/>
        <w:tab/>
        <w:tab/>
        <w:t xml:space="preserve">   </w:t>
        <w:tab/>
        <w:tab/>
        <w:tab/>
      </w:r>
    </w:p>
    <w:p>
      <w:pPr>
        <w:pStyle w:val="Normal"/>
        <w:rPr/>
      </w:pPr>
      <w:r>
        <w:rPr/>
        <w:t>Name:</w:t>
      </w:r>
      <w:r>
        <w:rPr>
          <w:u w:val="single"/>
        </w:rPr>
        <w:tab/>
        <w:tab/>
        <w:tab/>
        <w:tab/>
        <w:tab/>
        <w:tab/>
      </w:r>
    </w:p>
    <w:p>
      <w:pPr>
        <w:pStyle w:val="Normal"/>
        <w:rPr/>
      </w:pPr>
      <w:r>
        <w:rPr/>
        <w:t>Title:</w:t>
      </w:r>
      <w:r>
        <w:rPr>
          <w:u w:val="single"/>
        </w:rPr>
        <w:tab/>
        <w:tab/>
        <w:tab/>
        <w:tab/>
        <w:tab/>
        <w:tab/>
      </w:r>
    </w:p>
    <w:p>
      <w:pPr>
        <w:pStyle w:val="Normal"/>
        <w:rPr>
          <w:u w:val="single"/>
        </w:rPr>
      </w:pPr>
      <w:r>
        <w:rPr>
          <w:u w:val="single"/>
        </w:rPr>
      </w:r>
    </w:p>
    <w:p>
      <w:pPr>
        <w:pStyle w:val="Normal"/>
        <w:rPr/>
      </w:pPr>
      <w:r>
        <w:rPr/>
      </w:r>
    </w:p>
    <w:p>
      <w:pPr>
        <w:pStyle w:val="Normal"/>
        <w:rPr>
          <w:sz w:val="16"/>
        </w:rPr>
      </w:pPr>
      <w:r>
        <w:rPr>
          <w:sz w:val="16"/>
        </w:rPr>
      </w:r>
    </w:p>
    <w:sectPr>
      <w:headerReference w:type="default" r:id="rId2"/>
      <w:headerReference w:type="first" r:id="rId3"/>
      <w:type w:val="nextPage"/>
      <w:pgSz w:w="12240" w:h="15840"/>
      <w:pgMar w:left="1440" w:right="1440" w:gutter="0" w:header="720" w:top="1440"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Entrada Energy Ventures, L.L.C.</w:t>
    </w:r>
  </w:p>
  <w:p>
    <w:pPr>
      <w:pStyle w:val="Header"/>
      <w:rPr/>
    </w:pPr>
    <w:r>
      <w:rPr/>
      <w:t xml:space="preserve">October </w:t>
    </w:r>
    <w:r>
      <w:rPr>
        <w:u w:val="single"/>
      </w:rPr>
      <w:t xml:space="preserve">        </w:t>
    </w:r>
    <w:r>
      <w:rPr/>
      <w:t>, 2000</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2000-12-08T17:08:00Z</dcterms:created>
  <dc:creator>Vinson &amp; Elkins L.L.P.</dc:creator>
  <dc:description/>
  <dc:language>en-CA</dc:language>
  <cp:lastModifiedBy>tbushma</cp:lastModifiedBy>
  <cp:lastPrinted>2000-10-02T17:12:00Z</cp:lastPrinted>
  <dcterms:modified xsi:type="dcterms:W3CDTF">2000-12-08T17:10:00Z</dcterms:modified>
  <cp:revision>3</cp:revision>
  <dc:subject/>
  <dc:title>October </dc:title>
</cp:coreProperties>
</file>