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Credo Production</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____________ ____________</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___</w:t>
      </w:r>
      <w:bookmarkEnd w:id="2"/>
      <w:r>
        <w:rPr>
          <w:rFonts w:cs="Arial Narrow" w:ascii="Arial Narrow" w:hAnsi="Arial Narrow"/>
          <w:sz w:val="18"/>
        </w:rPr>
        <w:t xml:space="preserve"> Day of </w:t>
      </w:r>
      <w:bookmarkStart w:id="3" w:name="month"/>
      <w:r>
        <w:rPr>
          <w:rFonts w:cs="Arial Narrow" w:ascii="Arial Narrow" w:hAnsi="Arial Narrow"/>
          <w:sz w:val="18"/>
        </w:rPr>
        <w:t>_________</w:t>
      </w:r>
      <w:bookmarkEnd w:id="3"/>
      <w:r>
        <w:rPr>
          <w:rFonts w:cs="Arial Narrow" w:ascii="Arial Narrow" w:hAnsi="Arial Narrow"/>
          <w:sz w:val="18"/>
        </w:rPr>
        <w:t>,</w:t>
      </w:r>
      <w:bookmarkStart w:id="4" w:name="year"/>
      <w:r>
        <w:rPr>
          <w:rFonts w:cs="Arial Narrow" w:ascii="Arial Narrow" w:hAnsi="Arial Narrow"/>
          <w:sz w:val="18"/>
        </w:rPr>
        <w:t xml:space="preserve"> _____</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Heading2"/>
        <w:ind w:hanging="0" w:start="0"/>
        <w:rPr/>
      </w:pPr>
      <w:r>
        <w:rPr/>
        <w:t>CREDO PRODUCTION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/mnt/main-storage/datasets/enron-docs/doc/Credo_Production.doc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r>
        <w:rPr>
          <w:rFonts w:cs="Arial Narrow" w:ascii="Arial Narrow" w:hAnsi="Arial Narrow"/>
          <w:b/>
          <w:sz w:val="18"/>
        </w:rPr>
        <w:t>SEE MEASUREMENT RIDER</w:t>
      </w:r>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bookmarkStart w:id="10" w:name="payments"/>
      <w:bookmarkStart w:id="11" w:name="payments"/>
      <w:bookmarkEnd w:id="11"/>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2" w:name="con"/>
      <w:r>
        <w:rPr>
          <w:rFonts w:cs="Arial Narrow" w:ascii="Arial Narrow" w:hAnsi="Arial Narrow"/>
          <w:color w:val="000080"/>
          <w:sz w:val="18"/>
        </w:rPr>
        <w:t>Gas Trading</w:t>
      </w:r>
      <w:bookmarkEnd w:id="12"/>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3" w:name="noticecorresp"/>
      <w:bookmarkStart w:id="14" w:name="noticecorresp"/>
      <w:bookmarkEnd w:id="14"/>
    </w:p>
    <w:p>
      <w:pPr>
        <w:pStyle w:val="Normal"/>
        <w:jc w:val="both"/>
        <w:rPr>
          <w:rFonts w:ascii="Arial Narrow" w:hAnsi="Arial Narrow" w:cs="Arial Narrow"/>
          <w:sz w:val="18"/>
        </w:rPr>
      </w:pPr>
      <w:r>
        <w:rPr>
          <w:rFonts w:cs="Arial Narrow" w:ascii="Arial Narrow" w:hAnsi="Arial Narrow"/>
          <w:sz w:val="18"/>
        </w:rPr>
        <w:t>Credo Production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Normal"/>
    <w:qFormat/>
    <w:pPr>
      <w:keepNext w:val="true"/>
      <w:numPr>
        <w:ilvl w:val="1"/>
        <w:numId w:val="1"/>
      </w:numPr>
      <w:tabs>
        <w:tab w:val="clear" w:pos="720"/>
        <w:tab w:val="left" w:pos="4050" w:leader="none"/>
        <w:tab w:val="left" w:pos="5400" w:leader="none"/>
        <w:tab w:val="left" w:pos="9360" w:leader="none"/>
      </w:tabs>
      <w:outlineLvl w:val="1"/>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2001-07-18T18:56:00Z</dcterms:created>
  <dc:creator>dperlin</dc:creator>
  <dc:description/>
  <dc:language>en-CA</dc:language>
  <cp:lastModifiedBy>jrozycki</cp:lastModifiedBy>
  <cp:lastPrinted>2001-07-18T16:25:00Z</cp:lastPrinted>
  <dcterms:modified xsi:type="dcterms:W3CDTF">2001-07-18T18:56:00Z</dcterms:modified>
  <cp:revision>2</cp:revision>
  <dc:subject/>
  <dc:title>ENFOLIO® MASTER "SPOT" PURCHASE/SALE AGREEMENT</dc:title>
</cp:coreProperties>
</file>