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Confirmation</w:t>
      </w:r>
    </w:p>
    <w:p>
      <w:pPr>
        <w:pStyle w:val="Normal"/>
        <w:jc w:val="center"/>
        <w:rPr>
          <w:b/>
          <w:bCs/>
        </w:rPr>
      </w:pPr>
      <w:r>
        <w:rPr>
          <w:b/>
          <w:bCs/>
        </w:rPr>
        <w:t>(SWAP)</w:t>
      </w:r>
    </w:p>
    <w:p>
      <w:pPr>
        <w:pStyle w:val="Normal"/>
        <w:rPr>
          <w:b/>
          <w:bCs/>
        </w:rPr>
      </w:pPr>
      <w:r>
        <w:rPr>
          <w:b/>
          <w:bCs/>
        </w:rPr>
      </w:r>
    </w:p>
    <w:p>
      <w:pPr>
        <w:pStyle w:val="Normal"/>
        <w:rPr/>
      </w:pPr>
      <w:r>
        <w:rPr/>
      </w:r>
    </w:p>
    <w:p>
      <w:pPr>
        <w:pStyle w:val="Normal"/>
        <w:rPr/>
      </w:pPr>
      <w:r>
        <w:rPr/>
        <w:t>Date:</w:t>
        <w:tab/>
        <w:tab/>
        <w:t>September 26, 2001</w:t>
      </w:r>
    </w:p>
    <w:p>
      <w:pPr>
        <w:pStyle w:val="Normal"/>
        <w:rPr/>
      </w:pPr>
      <w:r>
        <w:rPr/>
        <w:t>To:</w:t>
        <w:tab/>
        <w:tab/>
        <w:t>Credit Suisse First Boston International</w:t>
      </w:r>
    </w:p>
    <w:p>
      <w:pPr>
        <w:pStyle w:val="Normal"/>
        <w:rPr/>
      </w:pPr>
      <w:r>
        <w:rPr/>
        <w:t>Attention:</w:t>
        <w:tab/>
        <w:t>Documentation Department</w:t>
      </w:r>
    </w:p>
    <w:p>
      <w:pPr>
        <w:pStyle w:val="Normal"/>
        <w:rPr/>
      </w:pPr>
      <w:r>
        <w:rPr/>
        <w:t>Fax No.:</w:t>
        <w:tab/>
        <w:t>011-207-888-7254</w:t>
      </w:r>
    </w:p>
    <w:p>
      <w:pPr>
        <w:pStyle w:val="Normal"/>
        <w:rPr/>
      </w:pPr>
      <w:r>
        <w:rPr/>
        <w:t>From:</w:t>
        <w:tab/>
        <w:tab/>
        <w:t>Enron North America Corp.</w:t>
      </w:r>
    </w:p>
    <w:p>
      <w:pPr>
        <w:pStyle w:val="Normal"/>
        <w:rPr/>
      </w:pPr>
      <w:r>
        <w:rPr/>
        <w:t>Re:</w:t>
        <w:tab/>
        <w:tab/>
        <w:t>Commodity Swap</w:t>
      </w:r>
    </w:p>
    <w:p>
      <w:pPr>
        <w:pStyle w:val="Normal"/>
        <w:rPr/>
      </w:pPr>
      <w:r>
        <w:rPr/>
      </w:r>
    </w:p>
    <w:p>
      <w:pPr>
        <w:pStyle w:val="Normal"/>
        <w:rPr/>
      </w:pPr>
      <w:r>
        <w:rPr/>
        <w:t>We are pleased to confirm the details of the following Transaction.</w:t>
      </w:r>
    </w:p>
    <w:p>
      <w:pPr>
        <w:pStyle w:val="Normal"/>
        <w:rPr/>
      </w:pPr>
      <w:r>
        <w:rPr/>
      </w:r>
    </w:p>
    <w:p>
      <w:pPr>
        <w:pStyle w:val="BodyText"/>
        <w:rPr/>
      </w:pPr>
      <w:r>
        <w:rPr/>
        <w:t>The purpose of this letter agreement (this "Confirmation") is to confirm the terms and conditions of the entered into between us on the Trade Date specified below (the "Transaction" or "Swap Transaction").  This letter agreement constitutes a "Confirmation" as referred to in the ISDA Master Agreement specified below.  This Confirmation supersedes any previous Confirmation or other communication with respect to the Transaction and evidences a complete and binding agreement between us as to the terms of the Transaction.</w:t>
      </w:r>
    </w:p>
    <w:p>
      <w:pPr>
        <w:pStyle w:val="Normal"/>
        <w:spacing w:before="0" w:after="240"/>
        <w:jc w:val="both"/>
        <w:rPr/>
      </w:pPr>
      <w:r>
        <w:rPr/>
        <w:t>This Confirmation supplements, forms part of, and is subject to, the ISDA Master Agreement dated as of April 21, 1993 as amended and supplemented from time to time (the "Agreement"), between you and us, except as may be expressly herein provided.  All provisions contained in the Agreement govern this Confirmation, except as may be expressly herein provided.  The 2000 ISDA Definitions and the 1993 ISDA Commodity Derivatives Definitions published by the International Swaps and Derivatives Association, Inc. as supplemented, amended, replaced or modified from time to time, are incorporated by reference into this Confirmation.</w:t>
      </w:r>
    </w:p>
    <w:p>
      <w:pPr>
        <w:pStyle w:val="Normal"/>
        <w:spacing w:before="0" w:after="240"/>
        <w:jc w:val="both"/>
        <w:rPr/>
      </w:pPr>
      <w:r>
        <w:rPr/>
        <w:t>Each party represents to the other that it is entering into this Transaction as principal (and not as agent or in any other capacity) with the full understanding of the terms, conditions and risks thereof and that it is capable of and willing to assume those risks.</w:t>
      </w:r>
    </w:p>
    <w:p>
      <w:pPr>
        <w:pStyle w:val="Normal"/>
        <w:spacing w:before="0" w:after="240"/>
        <w:jc w:val="both"/>
        <w:rPr/>
      </w:pPr>
      <w:r>
        <w:rPr/>
        <w:t>The terms of the particular Transaction to which this Confirmation relates are as follows:</w:t>
      </w:r>
    </w:p>
    <w:p>
      <w:pPr>
        <w:pStyle w:val="Normal"/>
        <w:jc w:val="both"/>
        <w:rPr/>
      </w:pPr>
      <w:r>
        <w:rPr/>
        <w:t>Total Notional Quantity:</w:t>
        <w:tab/>
        <w:tab/>
        <w:t>_____________ Barrels</w:t>
      </w:r>
    </w:p>
    <w:p>
      <w:pPr>
        <w:pStyle w:val="Normal"/>
        <w:jc w:val="both"/>
        <w:rPr/>
      </w:pPr>
      <w:r>
        <w:rPr/>
      </w:r>
    </w:p>
    <w:p>
      <w:pPr>
        <w:pStyle w:val="Normal"/>
        <w:jc w:val="both"/>
        <w:rPr/>
      </w:pPr>
      <w:r>
        <w:rPr/>
        <w:t>Notional Quantity per</w:t>
      </w:r>
    </w:p>
    <w:p>
      <w:pPr>
        <w:pStyle w:val="BodyTextIndent"/>
        <w:spacing w:before="0" w:after="0"/>
        <w:rPr/>
      </w:pPr>
      <w:r>
        <w:rPr/>
        <w:t>Calculation Period:</w:t>
        <w:tab/>
        <w:t>For each Calculation Period, the amount set forth in Exhibit I attached hereto</w:t>
      </w:r>
    </w:p>
    <w:p>
      <w:pPr>
        <w:pStyle w:val="BodyTextIndent"/>
        <w:spacing w:before="0" w:after="0"/>
        <w:rPr/>
      </w:pPr>
      <w:r>
        <w:rPr/>
      </w:r>
    </w:p>
    <w:p>
      <w:pPr>
        <w:pStyle w:val="BodyTextIndent"/>
        <w:spacing w:before="0" w:after="0"/>
        <w:rPr/>
      </w:pPr>
      <w:r>
        <w:rPr/>
        <w:t>Commodity:</w:t>
        <w:tab/>
        <w:t>West Texas Intermediate Light Sweet Crude Oil</w:t>
      </w:r>
    </w:p>
    <w:p>
      <w:pPr>
        <w:pStyle w:val="BodyTextIndent"/>
        <w:spacing w:before="0" w:after="0"/>
        <w:rPr/>
      </w:pPr>
      <w:r>
        <w:rPr/>
      </w:r>
    </w:p>
    <w:p>
      <w:pPr>
        <w:pStyle w:val="BodyTextIndent"/>
        <w:spacing w:before="0" w:after="0"/>
        <w:rPr/>
      </w:pPr>
      <w:r>
        <w:rPr/>
        <w:t>Trade Date:</w:t>
        <w:tab/>
        <w:t>September 26, 2001</w:t>
      </w:r>
    </w:p>
    <w:p>
      <w:pPr>
        <w:pStyle w:val="BodyTextIndent"/>
        <w:spacing w:before="0" w:after="0"/>
        <w:rPr/>
      </w:pPr>
      <w:r>
        <w:rPr/>
      </w:r>
    </w:p>
    <w:p>
      <w:pPr>
        <w:pStyle w:val="BodyTextIndent"/>
        <w:spacing w:before="0" w:after="0"/>
        <w:rPr/>
      </w:pPr>
      <w:r>
        <w:rPr/>
        <w:t>Effective Date:</w:t>
        <w:tab/>
        <w:t>September 26, 2001</w:t>
      </w:r>
    </w:p>
    <w:p>
      <w:pPr>
        <w:pStyle w:val="BodyTextIndent"/>
        <w:spacing w:before="0" w:after="0"/>
        <w:rPr/>
      </w:pPr>
      <w:r>
        <w:rPr/>
      </w:r>
    </w:p>
    <w:p>
      <w:pPr>
        <w:pStyle w:val="BodyTextIndent"/>
        <w:spacing w:before="0" w:after="0"/>
        <w:rPr/>
      </w:pPr>
      <w:r>
        <w:rPr/>
        <w:t>Termination Date:</w:t>
        <w:tab/>
        <w:t>_________________, subject to adjustment in accordance with the Modified Following Business Day Convention</w:t>
      </w:r>
    </w:p>
    <w:p>
      <w:pPr>
        <w:pStyle w:val="BodyTextIndent"/>
        <w:spacing w:before="0" w:after="0"/>
        <w:rPr/>
      </w:pPr>
      <w:r>
        <w:rPr/>
      </w:r>
    </w:p>
    <w:p>
      <w:pPr>
        <w:pStyle w:val="BodyTextIndent"/>
        <w:spacing w:before="0" w:after="0"/>
        <w:rPr/>
      </w:pPr>
      <w:r>
        <w:rPr/>
        <w:t>Calculation Period(s):</w:t>
        <w:tab/>
        <w:t>See Exhibit I attached hereto</w:t>
      </w:r>
    </w:p>
    <w:p>
      <w:pPr>
        <w:pStyle w:val="BodyTextIndent"/>
        <w:spacing w:before="0" w:after="0"/>
        <w:rPr/>
      </w:pPr>
      <w:r>
        <w:rPr/>
      </w:r>
    </w:p>
    <w:p>
      <w:pPr>
        <w:pStyle w:val="BodyTextIndent"/>
        <w:spacing w:before="0" w:after="0"/>
        <w:rPr/>
      </w:pPr>
      <w:r>
        <w:rPr/>
      </w:r>
    </w:p>
    <w:p>
      <w:pPr>
        <w:pStyle w:val="BodyTextIndent"/>
        <w:spacing w:before="0" w:after="0"/>
        <w:rPr/>
      </w:pPr>
      <w:r>
        <w:rPr>
          <w:b/>
          <w:bCs/>
          <w:u w:val="single"/>
        </w:rPr>
        <w:t>Fixed Amount Details</w:t>
      </w:r>
      <w:r>
        <w:rPr/>
        <w:t>:</w:t>
      </w:r>
    </w:p>
    <w:p>
      <w:pPr>
        <w:pStyle w:val="BodyTextIndent"/>
        <w:spacing w:before="0" w:after="0"/>
        <w:rPr/>
      </w:pPr>
      <w:r>
        <w:rPr/>
      </w:r>
    </w:p>
    <w:p>
      <w:pPr>
        <w:pStyle w:val="BodyTextIndent"/>
        <w:spacing w:before="0" w:after="0"/>
        <w:rPr/>
      </w:pPr>
      <w:r>
        <w:rPr/>
        <w:t>Fixed Amount Payer:</w:t>
        <w:tab/>
        <w:t>Credit Suisse First Boston International</w:t>
      </w:r>
    </w:p>
    <w:p>
      <w:pPr>
        <w:pStyle w:val="BodyTextIndent"/>
        <w:spacing w:before="0" w:after="0"/>
        <w:rPr/>
      </w:pPr>
      <w:r>
        <w:rPr/>
      </w:r>
    </w:p>
    <w:p>
      <w:pPr>
        <w:pStyle w:val="BodyTextIndent"/>
        <w:spacing w:before="0" w:after="0"/>
        <w:rPr/>
      </w:pPr>
      <w:r>
        <w:rPr/>
        <w:t>Fixed Amount:</w:t>
        <w:tab/>
        <w:t xml:space="preserve">USD </w:t>
      </w:r>
      <w:r>
        <w:rPr>
          <w:b/>
          <w:bCs/>
        </w:rPr>
        <w:t>[prepay amount]</w:t>
      </w:r>
    </w:p>
    <w:p>
      <w:pPr>
        <w:pStyle w:val="BodyTextIndent"/>
        <w:spacing w:before="0" w:after="0"/>
        <w:rPr/>
      </w:pPr>
      <w:r>
        <w:rPr/>
      </w:r>
    </w:p>
    <w:p>
      <w:pPr>
        <w:pStyle w:val="BodyTextIndent"/>
        <w:spacing w:before="0" w:after="0"/>
        <w:rPr/>
      </w:pPr>
      <w:r>
        <w:rPr/>
        <w:t>Fixed Amount Payment Date:</w:t>
        <w:tab/>
        <w:t>September 28, 2001</w:t>
      </w:r>
    </w:p>
    <w:p>
      <w:pPr>
        <w:pStyle w:val="BodyTextIndent"/>
        <w:spacing w:before="0" w:after="0"/>
        <w:rPr/>
      </w:pPr>
      <w:r>
        <w:rPr/>
      </w:r>
    </w:p>
    <w:p>
      <w:pPr>
        <w:pStyle w:val="BodyTextIndent"/>
        <w:spacing w:before="0" w:after="0"/>
        <w:rPr/>
      </w:pPr>
      <w:r>
        <w:rPr/>
      </w:r>
    </w:p>
    <w:p>
      <w:pPr>
        <w:pStyle w:val="BodyTextIndent"/>
        <w:spacing w:before="0" w:after="0"/>
        <w:rPr/>
      </w:pPr>
      <w:r>
        <w:rPr>
          <w:b/>
          <w:bCs/>
          <w:u w:val="single"/>
        </w:rPr>
        <w:t>Floating Amount Details</w:t>
      </w:r>
      <w:r>
        <w:rPr/>
        <w:t>:</w:t>
      </w:r>
    </w:p>
    <w:p>
      <w:pPr>
        <w:pStyle w:val="BodyTextIndent"/>
        <w:spacing w:before="0" w:after="0"/>
        <w:rPr/>
      </w:pPr>
      <w:r>
        <w:rPr/>
      </w:r>
    </w:p>
    <w:p>
      <w:pPr>
        <w:pStyle w:val="BodyTextIndent"/>
        <w:spacing w:before="0" w:after="0"/>
        <w:rPr/>
      </w:pPr>
      <w:r>
        <w:rPr/>
        <w:t>Floating Price Payer:</w:t>
        <w:tab/>
        <w:t>Enron North America Corp.</w:t>
      </w:r>
    </w:p>
    <w:p>
      <w:pPr>
        <w:pStyle w:val="BodyTextIndent"/>
        <w:spacing w:before="0" w:after="0"/>
        <w:rPr/>
      </w:pPr>
      <w:r>
        <w:rPr/>
      </w:r>
    </w:p>
    <w:p>
      <w:pPr>
        <w:pStyle w:val="BodyTextIndent"/>
        <w:spacing w:before="0" w:after="0"/>
        <w:rPr/>
      </w:pPr>
      <w:r>
        <w:rPr/>
        <w:t>Floating Price</w:t>
      </w:r>
    </w:p>
    <w:p>
      <w:pPr>
        <w:pStyle w:val="BodyTextIndent"/>
        <w:spacing w:before="0" w:after="0"/>
        <w:rPr/>
      </w:pPr>
      <w:r>
        <w:rPr/>
        <w:t>and Pricing Date:</w:t>
        <w:tab/>
        <w:t>The arithmetic average of the daily settlement prices for the prompt month of the NYMEX Light Sweet Crude Oil Futures Contract for each NYMEX Commodity Business Day in respect of the applicable Calculation Period</w:t>
      </w:r>
    </w:p>
    <w:p>
      <w:pPr>
        <w:pStyle w:val="BodyTextIndent"/>
        <w:spacing w:before="0" w:after="0"/>
        <w:rPr/>
      </w:pPr>
      <w:r>
        <w:rPr/>
      </w:r>
    </w:p>
    <w:p>
      <w:pPr>
        <w:pStyle w:val="BodyTextIndent"/>
        <w:spacing w:before="0" w:after="0"/>
        <w:rPr/>
      </w:pPr>
      <w:r>
        <w:rPr/>
        <w:t>Floating Price Payment Dates:</w:t>
        <w:tab/>
        <w:t>The Payment Dates set forth on Exhibit I attached hereto, subject to adjustment in accordance with the Modified Following Business Day Convention</w:t>
      </w:r>
    </w:p>
    <w:p>
      <w:pPr>
        <w:pStyle w:val="BodyTextIndent"/>
        <w:spacing w:before="0" w:after="0"/>
        <w:rPr/>
      </w:pPr>
      <w:r>
        <w:rPr/>
      </w:r>
    </w:p>
    <w:p>
      <w:pPr>
        <w:pStyle w:val="BodyTextIndent"/>
        <w:spacing w:before="0" w:after="0"/>
        <w:rPr/>
      </w:pPr>
      <w:r>
        <w:rPr/>
        <w:t>Rounding:</w:t>
        <w:tab/>
        <w:t>Four (4) decimal places</w:t>
      </w:r>
    </w:p>
    <w:p>
      <w:pPr>
        <w:pStyle w:val="BodyTextIndent"/>
        <w:spacing w:before="0" w:after="0"/>
        <w:rPr/>
      </w:pPr>
      <w:r>
        <w:rPr/>
      </w:r>
    </w:p>
    <w:p>
      <w:pPr>
        <w:pStyle w:val="BodyTextIndent"/>
        <w:spacing w:before="0" w:after="0"/>
        <w:rPr/>
      </w:pPr>
      <w:r>
        <w:rPr/>
      </w:r>
    </w:p>
    <w:p>
      <w:pPr>
        <w:pStyle w:val="BodyTextIndent"/>
        <w:spacing w:before="0" w:after="0"/>
        <w:rPr/>
      </w:pPr>
      <w:r>
        <w:rPr>
          <w:b/>
          <w:bCs/>
          <w:u w:val="single"/>
        </w:rPr>
        <w:t>Calculation Agent</w:t>
      </w:r>
      <w:r>
        <w:rPr/>
        <w:t>:</w:t>
        <w:tab/>
        <w:t>Enron North America Corp.</w:t>
      </w:r>
    </w:p>
    <w:p>
      <w:pPr>
        <w:pStyle w:val="BodyTextIndent"/>
        <w:spacing w:before="0" w:after="0"/>
        <w:rPr/>
      </w:pPr>
      <w:r>
        <w:rPr/>
      </w:r>
      <w:r>
        <w:br w:type="page"/>
      </w:r>
    </w:p>
    <w:p>
      <w:pPr>
        <w:pStyle w:val="BodyTextIndent"/>
        <w:spacing w:before="0" w:after="0"/>
        <w:rPr/>
      </w:pPr>
      <w:r>
        <w:rPr>
          <w:b/>
          <w:bCs/>
          <w:u w:val="single"/>
        </w:rPr>
        <w:t>Account Details</w:t>
      </w:r>
      <w:r>
        <w:rPr/>
        <w:t>:</w:t>
      </w:r>
    </w:p>
    <w:p>
      <w:pPr>
        <w:pStyle w:val="BodyTextIndent"/>
        <w:spacing w:before="0" w:after="0"/>
        <w:rPr/>
      </w:pPr>
      <w:r>
        <w:rPr/>
      </w:r>
    </w:p>
    <w:p>
      <w:pPr>
        <w:pStyle w:val="BodyTextIndent"/>
        <w:spacing w:before="0" w:after="0"/>
        <w:rPr/>
      </w:pPr>
      <w:r>
        <w:rPr/>
        <w:t>Payments to Credit Suisse First Boston International:</w:t>
        <w:tab/>
        <w:t>Bank of New York, New York</w:t>
      </w:r>
    </w:p>
    <w:p>
      <w:pPr>
        <w:pStyle w:val="BodyTextIndent"/>
        <w:spacing w:before="0" w:after="0"/>
        <w:rPr/>
      </w:pPr>
      <w:r>
        <w:rPr/>
        <w:tab/>
        <w:tab/>
        <w:tab/>
        <w:tab/>
        <w:t>(swift code IRVTUS3N)</w:t>
      </w:r>
    </w:p>
    <w:p>
      <w:pPr>
        <w:pStyle w:val="BodyTextIndent"/>
        <w:spacing w:before="0" w:after="0"/>
        <w:ind w:hanging="2880" w:end="0"/>
        <w:rPr/>
      </w:pPr>
      <w:r>
        <w:rPr/>
        <w:t>A/C Credit Suisse First Boston International</w:t>
        <w:tab/>
        <w:tab/>
        <w:t>A/C 890 036 0968</w:t>
      </w:r>
    </w:p>
    <w:p>
      <w:pPr>
        <w:pStyle w:val="BodyTextIndent"/>
        <w:spacing w:before="0" w:after="0"/>
        <w:rPr/>
      </w:pPr>
      <w:r>
        <w:rPr/>
      </w:r>
    </w:p>
    <w:p>
      <w:pPr>
        <w:pStyle w:val="BodyTextIndent"/>
        <w:spacing w:before="0" w:after="0"/>
        <w:rPr/>
      </w:pPr>
      <w:r>
        <w:rPr/>
        <w:t>Payments to Enron North America Corp.</w:t>
        <w:tab/>
        <w:tab/>
        <w:tab/>
        <w:t>Bank of America</w:t>
      </w:r>
    </w:p>
    <w:p>
      <w:pPr>
        <w:pStyle w:val="BodyTextIndent"/>
        <w:spacing w:before="0" w:after="0"/>
        <w:ind w:firstLine="720" w:start="5040" w:end="0"/>
        <w:rPr/>
      </w:pPr>
      <w:r>
        <w:rPr/>
        <w:t>ABA 111-000-012</w:t>
      </w:r>
    </w:p>
    <w:p>
      <w:pPr>
        <w:pStyle w:val="BodyTextIndent"/>
        <w:spacing w:before="0" w:after="0"/>
        <w:ind w:hanging="0" w:start="5760" w:end="0"/>
        <w:rPr/>
      </w:pPr>
      <w:r>
        <w:rPr/>
        <w:t>Account Name:  Enron North America Corp – Global Products</w:t>
      </w:r>
    </w:p>
    <w:p>
      <w:pPr>
        <w:pStyle w:val="BodyTextIndent"/>
        <w:spacing w:before="0" w:after="0"/>
        <w:ind w:hanging="0" w:end="0"/>
        <w:rPr/>
      </w:pPr>
      <w:r>
        <w:rPr/>
        <w:tab/>
        <w:tab/>
        <w:tab/>
        <w:t>A/C 375-144-3337</w:t>
      </w:r>
    </w:p>
    <w:p>
      <w:pPr>
        <w:pStyle w:val="BodyTextIndent"/>
        <w:spacing w:before="0" w:after="0"/>
        <w:rPr/>
      </w:pPr>
      <w:r>
        <w:rPr/>
      </w:r>
    </w:p>
    <w:p>
      <w:pPr>
        <w:pStyle w:val="BodyTextIndent"/>
        <w:spacing w:before="0" w:after="0"/>
        <w:rPr/>
      </w:pPr>
      <w:r>
        <w:rPr/>
      </w:r>
    </w:p>
    <w:p>
      <w:pPr>
        <w:pStyle w:val="BodyTextIndent"/>
        <w:spacing w:before="0" w:after="0"/>
        <w:rPr/>
      </w:pPr>
      <w:r>
        <w:rPr>
          <w:b/>
          <w:bCs/>
          <w:u w:val="single"/>
        </w:rPr>
        <w:t>Other Terms and Provisions</w:t>
      </w:r>
      <w:r>
        <w:rPr>
          <w:u w:val="single"/>
        </w:rPr>
        <w:t>:</w:t>
      </w:r>
    </w:p>
    <w:p>
      <w:pPr>
        <w:pStyle w:val="BodyTextIndent"/>
        <w:spacing w:before="0" w:after="0"/>
        <w:rPr>
          <w:u w:val="single"/>
        </w:rPr>
      </w:pPr>
      <w:r>
        <w:rPr>
          <w:u w:val="single"/>
        </w:rPr>
      </w:r>
    </w:p>
    <w:p>
      <w:pPr>
        <w:pStyle w:val="BodyTextIndent"/>
        <w:spacing w:before="0" w:after="0"/>
        <w:ind w:hanging="0" w:start="0" w:end="0"/>
        <w:rPr/>
      </w:pPr>
      <w:r>
        <w:rPr/>
        <w:t xml:space="preserve">1.  </w:t>
      </w:r>
      <w:r>
        <w:rPr>
          <w:u w:val="single"/>
        </w:rPr>
        <w:t>Guaranty</w:t>
      </w:r>
      <w:r>
        <w:rPr/>
        <w:t xml:space="preserve">.  Enron Corp. shall provide the following Credit Support Document on or before September 28, 2001 to support the Transaction:  Guaranty dated as of September 26, 2001 in the form set forth in Exhibit II attached hereto (the "2001 Guaranty").  The 2001 Guaranty shall not serve as a Credit Support Document of Party B for any Transaction other than this Transaction (the "Other Transactions") and no other Enron Corp. guaranty, including, without limitation, that certain Guaranty issued by Enron Corp. dated April 21, 1993 in the maximum amount of USD 15,000,000, shall serve as a Credit Support Document of Party B for this Transaction. </w:t>
      </w:r>
    </w:p>
    <w:p>
      <w:pPr>
        <w:pStyle w:val="BodyTextIndent"/>
        <w:spacing w:before="0" w:after="0"/>
        <w:ind w:hanging="0" w:start="0" w:end="0"/>
        <w:rPr/>
      </w:pPr>
      <w:r>
        <w:rPr/>
      </w:r>
    </w:p>
    <w:p>
      <w:pPr>
        <w:pStyle w:val="BodyTextIndent"/>
        <w:spacing w:before="0" w:after="0"/>
        <w:ind w:hanging="0" w:start="0" w:end="0"/>
        <w:rPr/>
      </w:pPr>
      <w:r>
        <w:rPr/>
        <w:t xml:space="preserve">2.  </w:t>
      </w:r>
      <w:r>
        <w:rPr>
          <w:u w:val="single"/>
        </w:rPr>
        <w:t>Unsecured Threshold Amount</w:t>
      </w:r>
      <w:r>
        <w:rPr/>
        <w:t xml:space="preserve">.   The Unsecured Threshold Amount set forth in Section 2 of the Mark-to-Market Collateral Appendix (the "Collateral Appendix") to the Agreement shall not apply to this Transaction, but shall continue to apply to the Other Transactions.  The following Unsecured Threshold Amount shall apply to Party B with respect to only this Transaction:  (a) where Party B is Pledgor pursuant to subclause 3(b)(i), USD 0, and (b) where Party B is Pledgor pursuant to subclause 3(b)(ii), USD </w:t>
      </w:r>
      <w:r>
        <w:rPr>
          <w:b/>
          <w:bCs/>
        </w:rPr>
        <w:t>[prepay amount]</w:t>
      </w:r>
      <w:r>
        <w:rPr/>
        <w:t xml:space="preserve">; provided, that where Party B is Pledgor pursuant to more than one subclause above, the Unsecured Threshold Amount shall be USD 0.  Party A shall not be a Pledgor in respect of this Transaction.  The determination of demands for collateral under Section 3 of the Collateral Appendix and the determination of return of excess collateral under Section 5 of the Collateral Appendix shall be determined separately for the Other Transactions and this Transaction taking into account the Unsecured Threshold Amount applicable to each of the Other Transactions and this Transaction.  In furtherance of the foregoing, Section 3(b)(ii) shall continue as stated in the Agreement applicable to the Other Transactions, but shall be amended to replace "US$7,500,000" therein stated with "USD </w:t>
      </w:r>
      <w:r>
        <w:rPr>
          <w:b/>
          <w:bCs/>
        </w:rPr>
        <w:t>[prepay amount]</w:t>
      </w:r>
      <w:r>
        <w:rPr/>
        <w:t xml:space="preserve">" applicable to this Transaction.  For the purposes of determining the foregoing collateral requirements, the Other Transactions and this Transaction shall not be aggregated and netted for determination of any Settlement Amount, but shall be determined separately as herein provided.       </w:t>
      </w:r>
      <w:r>
        <w:br w:type="page"/>
      </w:r>
    </w:p>
    <w:p>
      <w:pPr>
        <w:pStyle w:val="BodyTextIndent"/>
        <w:spacing w:before="0" w:after="0"/>
        <w:rPr/>
      </w:pPr>
      <w:r>
        <w:rPr/>
      </w:r>
    </w:p>
    <w:p>
      <w:pPr>
        <w:pStyle w:val="BodyTextIndent"/>
        <w:ind w:hanging="0" w:start="0" w:end="0"/>
        <w:rPr/>
      </w:pPr>
      <w:r>
        <w:rPr/>
        <w:t>This Confirmation may be executed in one or more counterparts, either in original or facsimile form, each of which shall constitute one and the same agreement.  When executed by the parties through facsimile transmission, this Confirmation shall constitute the original agreement between the parties and the parties hereby adopt the signatures printed by the receiving facsimile machine as the original signatures of the parties.</w:t>
      </w:r>
    </w:p>
    <w:p>
      <w:pPr>
        <w:pStyle w:val="BodyTextIndent"/>
        <w:ind w:hanging="0" w:start="0" w:end="0"/>
        <w:rPr/>
      </w:pPr>
      <w:r>
        <w:rPr/>
        <w:t xml:space="preserve">Please confirm that the foregoing correctly sets forth the terms of our agreement by executing a copy of this Confirmation and returning it to us by facsimile to </w:t>
      </w:r>
      <w:r>
        <w:rPr>
          <w:u w:val="single"/>
        </w:rPr>
        <w:t>713-646-2495</w:t>
      </w:r>
      <w:r>
        <w:rPr/>
        <w:t xml:space="preserve"> and to the attention of Mary Cook at </w:t>
      </w:r>
      <w:r>
        <w:rPr>
          <w:u w:val="single"/>
        </w:rPr>
        <w:t>713-646-3393</w:t>
      </w:r>
      <w:r>
        <w:rPr/>
        <w:t>.</w:t>
      </w:r>
    </w:p>
    <w:p>
      <w:pPr>
        <w:pStyle w:val="BodyTextIndent"/>
        <w:spacing w:before="0" w:after="0"/>
        <w:ind w:hanging="0" w:start="0" w:end="0"/>
        <w:rPr/>
      </w:pPr>
      <w:r>
        <w:rPr/>
      </w:r>
    </w:p>
    <w:p>
      <w:pPr>
        <w:pStyle w:val="BodyTextIndent"/>
        <w:spacing w:before="0" w:after="0"/>
        <w:ind w:hanging="0" w:start="0" w:end="0"/>
        <w:rPr/>
      </w:pPr>
      <w:r>
        <w:rPr/>
        <w:t>Enron North America Corp.</w:t>
        <w:tab/>
        <w:tab/>
        <w:tab/>
        <w:tab/>
      </w:r>
    </w:p>
    <w:p>
      <w:pPr>
        <w:pStyle w:val="BodyTextIndent"/>
        <w:spacing w:before="0" w:after="0"/>
        <w:ind w:hanging="0" w:start="0" w:end="0"/>
        <w:rPr/>
      </w:pPr>
      <w:r>
        <w:rPr/>
      </w:r>
    </w:p>
    <w:p>
      <w:pPr>
        <w:pStyle w:val="BodyTextIndent"/>
        <w:spacing w:before="0" w:after="0"/>
        <w:ind w:hanging="0" w:start="0" w:end="0"/>
        <w:rPr/>
      </w:pPr>
      <w:r>
        <w:rPr/>
      </w:r>
    </w:p>
    <w:p>
      <w:pPr>
        <w:pStyle w:val="BodyTextIndent"/>
        <w:spacing w:before="0" w:after="0"/>
        <w:ind w:hanging="0" w:start="0" w:end="0"/>
        <w:rPr/>
      </w:pPr>
      <w:r>
        <w:rPr/>
      </w:r>
    </w:p>
    <w:p>
      <w:pPr>
        <w:pStyle w:val="BodyTextIndent"/>
        <w:spacing w:before="0" w:after="0"/>
        <w:ind w:hanging="0" w:start="0" w:end="0"/>
        <w:rPr/>
      </w:pPr>
      <w:r>
        <w:rPr/>
        <w:t>By:</w:t>
        <w:tab/>
        <w:t>____________________</w:t>
        <w:tab/>
        <w:tab/>
        <w:tab/>
      </w:r>
    </w:p>
    <w:p>
      <w:pPr>
        <w:pStyle w:val="BodyTextIndent"/>
        <w:spacing w:before="0" w:after="0"/>
        <w:ind w:hanging="0" w:start="0" w:end="0"/>
        <w:rPr>
          <w:u w:val="single"/>
        </w:rPr>
      </w:pPr>
      <w:r>
        <w:rPr/>
        <w:t>Name:</w:t>
        <w:tab/>
        <w:t>____________________</w:t>
        <w:tab/>
        <w:tab/>
        <w:tab/>
      </w:r>
    </w:p>
    <w:p>
      <w:pPr>
        <w:pStyle w:val="BodyTextIndent"/>
        <w:spacing w:before="0" w:after="0"/>
        <w:ind w:hanging="0" w:start="0" w:end="0"/>
        <w:rPr>
          <w:u w:val="single"/>
        </w:rPr>
      </w:pPr>
      <w:r>
        <w:rPr/>
        <w:t>Title:</w:t>
        <w:tab/>
        <w:t>____________________</w:t>
        <w:tab/>
        <w:tab/>
        <w:tab/>
      </w:r>
    </w:p>
    <w:p>
      <w:pPr>
        <w:pStyle w:val="BodyTextIndent"/>
        <w:spacing w:before="0" w:after="0"/>
        <w:ind w:hanging="0" w:start="0" w:end="0"/>
        <w:rPr>
          <w:u w:val="single"/>
        </w:rPr>
      </w:pPr>
      <w:r>
        <w:rPr>
          <w:u w:val="single"/>
        </w:rPr>
      </w:r>
      <w:r>
        <w:br w:type="page"/>
      </w:r>
    </w:p>
    <w:p>
      <w:pPr>
        <w:pStyle w:val="BodyTextIndent"/>
        <w:spacing w:before="0" w:after="0"/>
        <w:ind w:hanging="0" w:start="0" w:end="0"/>
        <w:rPr>
          <w:u w:val="single"/>
        </w:rPr>
      </w:pPr>
      <w:r>
        <w:rPr>
          <w:u w:val="single"/>
        </w:rPr>
      </w:r>
    </w:p>
    <w:p>
      <w:pPr>
        <w:pStyle w:val="BodyTextIndent"/>
        <w:spacing w:before="0" w:after="0"/>
        <w:ind w:hanging="0" w:start="0" w:end="0"/>
        <w:rPr/>
      </w:pPr>
      <w:r>
        <w:rPr/>
        <w:t>Credit Suisse First Boston International</w:t>
      </w:r>
    </w:p>
    <w:p>
      <w:pPr>
        <w:pStyle w:val="BodyTextIndent"/>
        <w:spacing w:before="0" w:after="0"/>
        <w:ind w:hanging="0" w:start="0" w:end="0"/>
        <w:rPr/>
      </w:pPr>
      <w:r>
        <w:rPr/>
      </w:r>
    </w:p>
    <w:p>
      <w:pPr>
        <w:pStyle w:val="BodyTextIndent"/>
        <w:spacing w:before="0" w:after="0"/>
        <w:ind w:hanging="0" w:start="0" w:end="0"/>
        <w:rPr/>
      </w:pPr>
      <w:r>
        <w:rPr/>
      </w:r>
    </w:p>
    <w:p>
      <w:pPr>
        <w:pStyle w:val="BodyTextIndent"/>
        <w:spacing w:before="0" w:after="0"/>
        <w:ind w:hanging="0" w:start="0" w:end="0"/>
        <w:rPr/>
      </w:pPr>
      <w:r>
        <w:rPr/>
      </w:r>
    </w:p>
    <w:p>
      <w:pPr>
        <w:pStyle w:val="BodyTextIndent"/>
        <w:spacing w:before="0" w:after="0"/>
        <w:ind w:hanging="0" w:start="0" w:end="0"/>
        <w:rPr>
          <w:u w:val="single"/>
        </w:rPr>
      </w:pPr>
      <w:r>
        <w:rPr/>
        <w:t>By:</w:t>
        <w:tab/>
        <w:t>________________________</w:t>
        <w:tab/>
        <w:tab/>
        <w:tab/>
      </w:r>
    </w:p>
    <w:p>
      <w:pPr>
        <w:pStyle w:val="BodyTextIndent"/>
        <w:spacing w:before="0" w:after="0"/>
        <w:ind w:hanging="0" w:start="0" w:end="0"/>
        <w:rPr/>
      </w:pPr>
      <w:r>
        <w:rPr/>
        <w:t>Name:</w:t>
        <w:tab/>
        <w:t>________________________</w:t>
        <w:tab/>
        <w:tab/>
        <w:tab/>
      </w:r>
    </w:p>
    <w:p>
      <w:pPr>
        <w:pStyle w:val="BodyTextIndent"/>
        <w:spacing w:before="0" w:after="0"/>
        <w:ind w:hanging="0" w:start="0" w:end="0"/>
        <w:rPr/>
      </w:pPr>
      <w:r>
        <w:rPr/>
        <w:t>Title:</w:t>
        <w:tab/>
      </w:r>
      <w:r>
        <w:rPr>
          <w:u w:val="single"/>
        </w:rPr>
        <w:tab/>
        <w:tab/>
        <w:tab/>
        <w:tab/>
      </w:r>
    </w:p>
    <w:p>
      <w:pPr>
        <w:pStyle w:val="BodyTextIndent"/>
        <w:spacing w:before="0" w:after="0"/>
        <w:ind w:hanging="0" w:start="0" w:end="0"/>
        <w:rPr>
          <w:u w:val="single"/>
        </w:rPr>
      </w:pPr>
      <w:r>
        <w:rPr>
          <w:u w:val="single"/>
        </w:rPr>
      </w:r>
      <w:r>
        <w:br w:type="page"/>
      </w:r>
    </w:p>
    <w:p>
      <w:pPr>
        <w:pStyle w:val="BodyTextIndent"/>
        <w:spacing w:before="0" w:after="0"/>
        <w:ind w:hanging="0" w:start="0" w:end="0"/>
        <w:jc w:val="center"/>
        <w:rPr>
          <w:b/>
          <w:bCs/>
        </w:rPr>
      </w:pPr>
      <w:r>
        <w:rPr>
          <w:b/>
          <w:bCs/>
        </w:rPr>
        <w:t>Exhibit I</w:t>
      </w:r>
    </w:p>
    <w:p>
      <w:pPr>
        <w:pStyle w:val="BodyTextIndent"/>
        <w:spacing w:before="0" w:after="0"/>
        <w:ind w:hanging="0" w:start="0" w:end="0"/>
        <w:rPr>
          <w:b/>
          <w:bCs/>
        </w:rPr>
      </w:pPr>
      <w:r>
        <w:rPr>
          <w:b/>
          <w:bCs/>
        </w:rPr>
      </w:r>
    </w:p>
    <w:p>
      <w:pPr>
        <w:pStyle w:val="BodyTextIndent"/>
        <w:spacing w:before="0" w:after="0"/>
        <w:ind w:hanging="0" w:start="0" w:end="0"/>
        <w:rPr/>
      </w:pPr>
      <w:r>
        <w:rPr/>
      </w:r>
    </w:p>
    <w:tbl>
      <w:tblPr>
        <w:tblW w:w="4300" w:type="pct"/>
        <w:jc w:val="start"/>
        <w:tblInd w:w="0" w:type="dxa"/>
        <w:tblLayout w:type="fixed"/>
        <w:tblCellMar>
          <w:top w:w="0" w:type="dxa"/>
          <w:start w:w="108" w:type="dxa"/>
          <w:bottom w:w="0" w:type="dxa"/>
          <w:end w:w="108" w:type="dxa"/>
        </w:tblCellMar>
      </w:tblPr>
      <w:tblGrid>
        <w:gridCol w:w="3860"/>
        <w:gridCol w:w="2000"/>
        <w:gridCol w:w="2189"/>
      </w:tblGrid>
      <w:tr>
        <w:trPr/>
        <w:tc>
          <w:tcPr>
            <w:tcW w:w="3860" w:type="dxa"/>
            <w:tcBorders/>
          </w:tcPr>
          <w:p>
            <w:pPr>
              <w:pStyle w:val="BodyTextIndent"/>
              <w:snapToGrid w:val="false"/>
              <w:spacing w:before="0" w:after="0"/>
              <w:ind w:hanging="0" w:start="0" w:end="0"/>
              <w:rPr/>
            </w:pPr>
            <w:r>
              <w:rPr/>
            </w:r>
          </w:p>
          <w:p>
            <w:pPr>
              <w:pStyle w:val="BodyTextIndent"/>
              <w:spacing w:before="0" w:after="0"/>
              <w:ind w:hanging="0" w:start="0" w:end="0"/>
              <w:rPr/>
            </w:pPr>
            <w:r>
              <w:rPr/>
              <w:t>Calculation</w:t>
            </w:r>
          </w:p>
          <w:p>
            <w:pPr>
              <w:pStyle w:val="BodyTextIndent"/>
              <w:spacing w:before="0" w:after="0"/>
              <w:ind w:hanging="0" w:start="0" w:end="0"/>
              <w:rPr>
                <w:u w:val="single"/>
              </w:rPr>
            </w:pPr>
            <w:r>
              <w:rPr>
                <w:u w:val="single"/>
              </w:rPr>
              <w:t>Period</w:t>
            </w:r>
          </w:p>
        </w:tc>
        <w:tc>
          <w:tcPr>
            <w:tcW w:w="2000" w:type="dxa"/>
            <w:tcBorders/>
          </w:tcPr>
          <w:p>
            <w:pPr>
              <w:pStyle w:val="BodyTextIndent"/>
              <w:spacing w:before="0" w:after="0"/>
              <w:ind w:hanging="0" w:start="0" w:end="0"/>
              <w:rPr/>
            </w:pPr>
            <w:r>
              <w:rPr/>
              <w:t>Notional Quantity</w:t>
            </w:r>
          </w:p>
          <w:p>
            <w:pPr>
              <w:pStyle w:val="BodyTextIndent"/>
              <w:spacing w:before="0" w:after="0"/>
              <w:ind w:hanging="0" w:start="0" w:end="0"/>
              <w:rPr/>
            </w:pPr>
            <w:r>
              <w:rPr/>
              <w:t>Per Calculation</w:t>
            </w:r>
          </w:p>
          <w:p>
            <w:pPr>
              <w:pStyle w:val="BodyTextIndent"/>
              <w:spacing w:before="0" w:after="0"/>
              <w:ind w:hanging="0" w:start="0" w:end="0"/>
              <w:rPr>
                <w:u w:val="single"/>
              </w:rPr>
            </w:pPr>
            <w:r>
              <w:rPr>
                <w:u w:val="single"/>
              </w:rPr>
              <w:t>Period (Barrels)</w:t>
            </w:r>
          </w:p>
        </w:tc>
        <w:tc>
          <w:tcPr>
            <w:tcW w:w="2189" w:type="dxa"/>
            <w:tcBorders/>
          </w:tcPr>
          <w:p>
            <w:pPr>
              <w:pStyle w:val="BodyTextIndent"/>
              <w:snapToGrid w:val="false"/>
              <w:spacing w:before="0" w:after="0"/>
              <w:ind w:hanging="0" w:start="0" w:end="0"/>
              <w:rPr>
                <w:u w:val="single"/>
              </w:rPr>
            </w:pPr>
            <w:r>
              <w:rPr>
                <w:u w:val="single"/>
              </w:rPr>
            </w:r>
          </w:p>
          <w:p>
            <w:pPr>
              <w:pStyle w:val="BodyTextIndent"/>
              <w:spacing w:before="0" w:after="0"/>
              <w:ind w:hanging="0" w:start="0" w:end="0"/>
              <w:rPr/>
            </w:pPr>
            <w:r>
              <w:rPr/>
              <w:t>Payment</w:t>
            </w:r>
          </w:p>
          <w:p>
            <w:pPr>
              <w:pStyle w:val="BodyTextIndent"/>
              <w:spacing w:before="0" w:after="0"/>
              <w:ind w:hanging="0" w:start="0" w:end="0"/>
              <w:rPr>
                <w:u w:val="single"/>
              </w:rPr>
            </w:pPr>
            <w:r>
              <w:rPr>
                <w:u w:val="single"/>
              </w:rPr>
              <w:t>Date</w:t>
            </w:r>
          </w:p>
        </w:tc>
      </w:tr>
      <w:tr>
        <w:trPr/>
        <w:tc>
          <w:tcPr>
            <w:tcW w:w="3860" w:type="dxa"/>
            <w:tcBorders/>
          </w:tcPr>
          <w:p>
            <w:pPr>
              <w:pStyle w:val="BodyTextIndent"/>
              <w:snapToGrid w:val="false"/>
              <w:spacing w:before="0" w:after="0"/>
              <w:ind w:hanging="0" w:start="0" w:end="0"/>
              <w:rPr>
                <w:u w:val="single"/>
              </w:rPr>
            </w:pPr>
            <w:r>
              <w:rPr>
                <w:u w:val="single"/>
              </w:rPr>
            </w:r>
          </w:p>
        </w:tc>
        <w:tc>
          <w:tcPr>
            <w:tcW w:w="2000" w:type="dxa"/>
            <w:tcBorders/>
          </w:tcPr>
          <w:p>
            <w:pPr>
              <w:pStyle w:val="BodyTextIndent"/>
              <w:snapToGrid w:val="false"/>
              <w:spacing w:before="0" w:after="0"/>
              <w:ind w:hanging="0" w:start="0" w:end="0"/>
              <w:rPr/>
            </w:pPr>
            <w:r>
              <w:rPr/>
            </w:r>
          </w:p>
        </w:tc>
        <w:tc>
          <w:tcPr>
            <w:tcW w:w="2189" w:type="dxa"/>
            <w:tcBorders/>
          </w:tcPr>
          <w:p>
            <w:pPr>
              <w:pStyle w:val="BodyTextIndent"/>
              <w:snapToGrid w:val="false"/>
              <w:spacing w:before="0" w:after="0"/>
              <w:ind w:hanging="0" w:start="0" w:end="0"/>
              <w:rPr/>
            </w:pPr>
            <w:r>
              <w:rPr/>
            </w:r>
          </w:p>
        </w:tc>
      </w:tr>
    </w:tbl>
    <w:p>
      <w:pPr>
        <w:pStyle w:val="BodyTextIndent"/>
        <w:spacing w:before="0" w:after="0"/>
        <w:ind w:hanging="0" w:start="0" w:end="0"/>
        <w:rPr/>
      </w:pPr>
      <w:r>
        <w:rPr/>
      </w:r>
      <w:r>
        <w:br w:type="page"/>
      </w:r>
    </w:p>
    <w:p>
      <w:pPr>
        <w:pStyle w:val="Normal"/>
        <w:ind w:end="180"/>
        <w:jc w:val="center"/>
        <w:rPr>
          <w:b/>
          <w:bCs/>
        </w:rPr>
      </w:pPr>
      <w:r>
        <w:rPr>
          <w:b/>
          <w:bCs/>
        </w:rPr>
        <w:t>Exhibit II</w:t>
      </w:r>
    </w:p>
    <w:p>
      <w:pPr>
        <w:pStyle w:val="Normal"/>
        <w:ind w:end="180"/>
        <w:jc w:val="center"/>
        <w:rPr>
          <w:b/>
          <w:bCs/>
        </w:rPr>
      </w:pPr>
      <w:r>
        <w:rPr>
          <w:b/>
          <w:bCs/>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September 26,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Credit Suisse First Boston International, an unlimited company incorporated under the laws of England and Wales (“Counterparty”), and ENRON NORTH AMERICA CORP. (“Enron”), a wholly owned subsidiary of Guarantor, have entered into that certain ISDA Master Agreement dated as of the April 21, 1993 (as the same may have been amended, the “Master Agreement”) and that certain Confirmation having an effective date of September 26, 2001 (the “Confirmation”) (the Master Agreement and the Confirmation, as the same may from time to time be amended,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 evidenced by the Confirmation and the Master Agreement governing the Confirmation;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 xml:space="preserve">(b)  The aggregate amount covered by this Guaranty shall not exceed U.S. $ </w:t>
      </w:r>
      <w:r>
        <w:rPr>
          <w:b/>
          <w:bCs/>
        </w:rPr>
        <w:t>[prepay amount]</w:t>
      </w:r>
      <w:r>
        <w:rPr/>
        <w:t>.</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Credit Suisse First Boston International</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One Cabot Square</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London E14 4QJ </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England</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Attn.:  Global Risk Manager</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IN WITNESS WHEREOF, the Guarantor has executed this Guaranty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BodyTextIndent"/>
        <w:spacing w:before="0" w:after="0"/>
        <w:ind w:hanging="0" w:start="0" w:end="0"/>
        <w:rPr>
          <w:sz w:val="22"/>
          <w:szCs w:val="22"/>
        </w:rPr>
      </w:pPr>
      <w:r>
        <w:rPr>
          <w:sz w:val="22"/>
          <w:szCs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/mnt/main-storage/datasets/enron-docs/doc/Credit_Suisse_Prepay_Confirmation.doc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iCs/>
        <w:sz w:val="20"/>
      </w:rPr>
    </w:pPr>
    <w:r>
      <w:rPr>
        <w:i/>
        <w:iCs/>
        <w:sz w:val="20"/>
      </w:rPr>
    </w:r>
  </w:p>
  <w:p>
    <w:pPr>
      <w:pStyle w:val="Header"/>
      <w:jc w:val="end"/>
      <w:rPr>
        <w:i/>
        <w:i/>
        <w:iCs/>
        <w:sz w:val="20"/>
      </w:rPr>
    </w:pPr>
    <w:r>
      <w:rPr>
        <w:i/>
        <w:iCs/>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iCs/>
        <w:sz w:val="20"/>
      </w:rPr>
    </w:pPr>
    <w:r>
      <w:rPr>
        <w:b/>
        <w:bCs/>
        <w:i/>
        <w:iCs/>
        <w:sz w:val="20"/>
      </w:rPr>
      <w:t>Enron North America Corp.</w:t>
    </w:r>
  </w:p>
  <w:p>
    <w:pPr>
      <w:pStyle w:val="Header"/>
      <w:jc w:val="end"/>
      <w:rPr>
        <w:i/>
        <w:i/>
        <w:iCs/>
        <w:sz w:val="20"/>
      </w:rPr>
    </w:pPr>
    <w:r>
      <w:rPr>
        <w:i/>
        <w:iCs/>
        <w:sz w:val="20"/>
      </w:rPr>
      <w:t xml:space="preserve">P.O. Box 4428             </w:t>
    </w:r>
  </w:p>
  <w:p>
    <w:pPr>
      <w:pStyle w:val="Header"/>
      <w:jc w:val="end"/>
      <w:rPr>
        <w:i/>
        <w:i/>
        <w:iCs/>
        <w:sz w:val="20"/>
      </w:rPr>
    </w:pPr>
    <w:r>
      <w:rPr>
        <w:i/>
        <w:iCs/>
        <w:sz w:val="20"/>
      </w:rPr>
      <w:t>Houston, Texas   77210-4428</w:t>
    </w:r>
  </w:p>
  <w:p>
    <w:pPr>
      <w:pStyle w:val="Header"/>
      <w:jc w:val="end"/>
      <w:rPr>
        <w:i/>
        <w:i/>
        <w:iCs/>
        <w:sz w:val="20"/>
      </w:rPr>
    </w:pPr>
    <w:r>
      <w:rPr>
        <w:i/>
        <w:iCs/>
        <w:sz w:val="20"/>
      </w:rPr>
    </w:r>
  </w:p>
  <w:p>
    <w:pPr>
      <w:pStyle w:val="Header"/>
      <w:jc w:val="end"/>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240"/>
      <w:ind w:hanging="3600" w:start="360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2001-09-24T19:09:00Z</dcterms:created>
  <dc:creator>Esmeralda Gonzalez</dc:creator>
  <dc:description/>
  <dc:language>en-CA</dc:language>
  <cp:lastModifiedBy>mcook</cp:lastModifiedBy>
  <cp:lastPrinted>2001-09-24T20:24:00Z</cp:lastPrinted>
  <dcterms:modified xsi:type="dcterms:W3CDTF">2001-09-24T22:55:00Z</dcterms:modified>
  <cp:revision>27</cp:revision>
  <dc:subject/>
  <dc:title>Confirmation</dc:title>
</cp:coreProperties>
</file>