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pBdr>
          <w:top w:val="single" w:sz="4" w:space="1" w:color="000000"/>
          <w:left w:val="single" w:sz="4" w:space="4" w:color="000000"/>
          <w:bottom w:val="single" w:sz="4" w:space="1" w:color="000000"/>
          <w:right w:val="single" w:sz="4" w:space="4" w:color="000000"/>
        </w:pBdr>
        <w:jc w:val="center"/>
        <w:rPr>
          <w:b/>
          <w:sz w:val="36"/>
        </w:rPr>
      </w:pPr>
      <w:r>
        <w:rPr>
          <w:b/>
          <w:sz w:val="36"/>
        </w:rPr>
      </w:r>
    </w:p>
    <w:p>
      <w:pPr>
        <w:pStyle w:val="Normal"/>
        <w:pBdr>
          <w:top w:val="single" w:sz="4" w:space="1" w:color="000000"/>
          <w:left w:val="single" w:sz="4" w:space="4" w:color="000000"/>
          <w:bottom w:val="single" w:sz="4" w:space="1" w:color="000000"/>
          <w:right w:val="single" w:sz="4" w:space="4" w:color="000000"/>
        </w:pBdr>
        <w:jc w:val="center"/>
        <w:rPr>
          <w:b/>
          <w:sz w:val="36"/>
        </w:rPr>
      </w:pPr>
      <w:r>
        <w:rPr>
          <w:b/>
          <w:sz w:val="36"/>
        </w:rPr>
      </w:r>
    </w:p>
    <w:p>
      <w:pPr>
        <w:pStyle w:val="Normal"/>
        <w:pBdr>
          <w:top w:val="single" w:sz="4" w:space="1" w:color="000000"/>
          <w:left w:val="single" w:sz="4" w:space="4" w:color="000000"/>
          <w:bottom w:val="single" w:sz="4" w:space="1" w:color="000000"/>
          <w:right w:val="single" w:sz="4" w:space="4" w:color="000000"/>
        </w:pBdr>
        <w:jc w:val="center"/>
        <w:rPr>
          <w:b/>
          <w:sz w:val="36"/>
        </w:rPr>
      </w:pPr>
      <w:r>
        <w:rPr>
          <w:b/>
          <w:sz w:val="36"/>
        </w:rPr>
      </w:r>
    </w:p>
    <w:p>
      <w:pPr>
        <w:pStyle w:val="Normal"/>
        <w:pBdr>
          <w:top w:val="single" w:sz="4" w:space="1" w:color="000000"/>
          <w:left w:val="single" w:sz="4" w:space="4" w:color="000000"/>
          <w:bottom w:val="single" w:sz="4" w:space="1" w:color="000000"/>
          <w:right w:val="single" w:sz="4" w:space="4" w:color="000000"/>
        </w:pBdr>
        <w:jc w:val="center"/>
        <w:rPr>
          <w:b/>
          <w:sz w:val="36"/>
        </w:rPr>
      </w:pPr>
      <w:r>
        <w:rPr>
          <w:b/>
          <w:sz w:val="36"/>
        </w:rPr>
      </w:r>
    </w:p>
    <w:p>
      <w:pPr>
        <w:pStyle w:val="Normal"/>
        <w:pBdr>
          <w:top w:val="single" w:sz="4" w:space="1" w:color="000000"/>
          <w:left w:val="single" w:sz="4" w:space="4" w:color="000000"/>
          <w:bottom w:val="single" w:sz="4" w:space="1" w:color="000000"/>
          <w:right w:val="single" w:sz="4" w:space="4" w:color="000000"/>
        </w:pBdr>
        <w:rPr>
          <w:b/>
          <w:sz w:val="36"/>
        </w:rPr>
      </w:pPr>
      <w:r>
        <w:rPr>
          <w:b/>
          <w:sz w:val="36"/>
        </w:rPr>
      </w:r>
    </w:p>
    <w:p>
      <w:pPr>
        <w:pStyle w:val="Normal"/>
        <w:pBdr>
          <w:top w:val="single" w:sz="4" w:space="1" w:color="000000"/>
          <w:left w:val="single" w:sz="4" w:space="4" w:color="000000"/>
          <w:bottom w:val="single" w:sz="4" w:space="1" w:color="000000"/>
          <w:right w:val="single" w:sz="4" w:space="4" w:color="000000"/>
        </w:pBdr>
        <w:jc w:val="center"/>
        <w:rPr>
          <w:b/>
          <w:sz w:val="36"/>
        </w:rPr>
      </w:pPr>
      <w:r>
        <w:rPr>
          <w:b/>
          <w:sz w:val="36"/>
        </w:rPr>
        <w:t>EOTT ENERGY CORP.</w:t>
      </w:r>
    </w:p>
    <w:p>
      <w:pPr>
        <w:pStyle w:val="Normal"/>
        <w:pBdr>
          <w:top w:val="single" w:sz="4" w:space="1" w:color="000000"/>
          <w:left w:val="single" w:sz="4" w:space="4" w:color="000000"/>
          <w:bottom w:val="single" w:sz="4" w:space="1" w:color="000000"/>
          <w:right w:val="single" w:sz="4" w:space="4" w:color="000000"/>
        </w:pBdr>
        <w:jc w:val="center"/>
        <w:rPr>
          <w:b/>
          <w:sz w:val="36"/>
        </w:rPr>
      </w:pPr>
      <w:r>
        <w:rPr>
          <w:b/>
          <w:sz w:val="36"/>
        </w:rPr>
      </w:r>
    </w:p>
    <w:p>
      <w:pPr>
        <w:pStyle w:val="Normal"/>
        <w:pBdr>
          <w:top w:val="single" w:sz="4" w:space="1" w:color="000000"/>
          <w:left w:val="single" w:sz="4" w:space="4" w:color="000000"/>
          <w:bottom w:val="single" w:sz="4" w:space="1" w:color="000000"/>
          <w:right w:val="single" w:sz="4" w:space="4" w:color="000000"/>
        </w:pBdr>
        <w:jc w:val="center"/>
        <w:rPr>
          <w:b/>
          <w:sz w:val="36"/>
        </w:rPr>
      </w:pPr>
      <w:r>
        <w:rPr>
          <w:b/>
          <w:sz w:val="36"/>
        </w:rPr>
      </w:r>
    </w:p>
    <w:p>
      <w:pPr>
        <w:pStyle w:val="Normal"/>
        <w:pBdr>
          <w:top w:val="single" w:sz="4" w:space="1" w:color="000000"/>
          <w:left w:val="single" w:sz="4" w:space="4" w:color="000000"/>
          <w:bottom w:val="single" w:sz="4" w:space="1" w:color="000000"/>
          <w:right w:val="single" w:sz="4" w:space="4" w:color="000000"/>
        </w:pBdr>
        <w:jc w:val="center"/>
        <w:rPr>
          <w:b/>
          <w:sz w:val="36"/>
        </w:rPr>
      </w:pPr>
      <w:r>
        <w:rPr>
          <w:b/>
          <w:sz w:val="36"/>
        </w:rPr>
      </w:r>
    </w:p>
    <w:p>
      <w:pPr>
        <w:pStyle w:val="Normal"/>
        <w:pBdr>
          <w:top w:val="single" w:sz="4" w:space="1" w:color="000000"/>
          <w:left w:val="single" w:sz="4" w:space="4" w:color="000000"/>
          <w:bottom w:val="single" w:sz="4" w:space="1" w:color="000000"/>
          <w:right w:val="single" w:sz="4" w:space="4" w:color="000000"/>
        </w:pBdr>
        <w:jc w:val="center"/>
        <w:rPr>
          <w:b/>
          <w:sz w:val="36"/>
        </w:rPr>
      </w:pPr>
      <w:r>
        <w:rPr>
          <w:b/>
          <w:sz w:val="36"/>
        </w:rPr>
      </w:r>
    </w:p>
    <w:p>
      <w:pPr>
        <w:pStyle w:val="Normal"/>
        <w:pBdr>
          <w:top w:val="single" w:sz="4" w:space="1" w:color="000000"/>
          <w:left w:val="single" w:sz="4" w:space="4" w:color="000000"/>
          <w:bottom w:val="single" w:sz="4" w:space="1" w:color="000000"/>
          <w:right w:val="single" w:sz="4" w:space="4" w:color="000000"/>
        </w:pBdr>
        <w:jc w:val="center"/>
        <w:rPr>
          <w:b/>
          <w:sz w:val="36"/>
        </w:rPr>
      </w:pPr>
      <w:r>
        <w:rPr>
          <w:b/>
          <w:sz w:val="36"/>
        </w:rPr>
      </w:r>
    </w:p>
    <w:p>
      <w:pPr>
        <w:pStyle w:val="Normal"/>
        <w:pBdr>
          <w:top w:val="single" w:sz="4" w:space="1" w:color="000000"/>
          <w:left w:val="single" w:sz="4" w:space="4" w:color="000000"/>
          <w:bottom w:val="single" w:sz="4" w:space="1" w:color="000000"/>
          <w:right w:val="single" w:sz="4" w:space="4" w:color="000000"/>
        </w:pBdr>
        <w:jc w:val="center"/>
        <w:rPr>
          <w:b/>
          <w:sz w:val="36"/>
        </w:rPr>
      </w:pPr>
      <w:r>
        <w:rPr>
          <w:b/>
          <w:sz w:val="36"/>
        </w:rPr>
      </w:r>
    </w:p>
    <w:p>
      <w:pPr>
        <w:pStyle w:val="Normal"/>
        <w:pBdr>
          <w:top w:val="single" w:sz="4" w:space="1" w:color="000000"/>
          <w:left w:val="single" w:sz="4" w:space="4" w:color="000000"/>
          <w:bottom w:val="single" w:sz="4" w:space="1" w:color="000000"/>
          <w:right w:val="single" w:sz="4" w:space="4" w:color="000000"/>
        </w:pBdr>
        <w:jc w:val="center"/>
        <w:rPr>
          <w:b/>
          <w:sz w:val="36"/>
        </w:rPr>
      </w:pPr>
      <w:r>
        <w:rPr>
          <w:b/>
          <w:sz w:val="36"/>
        </w:rPr>
      </w:r>
    </w:p>
    <w:p>
      <w:pPr>
        <w:pStyle w:val="Normal"/>
        <w:pBdr>
          <w:top w:val="single" w:sz="4" w:space="1" w:color="000000"/>
          <w:left w:val="single" w:sz="4" w:space="4" w:color="000000"/>
          <w:bottom w:val="single" w:sz="4" w:space="1" w:color="000000"/>
          <w:right w:val="single" w:sz="4" w:space="4" w:color="000000"/>
        </w:pBdr>
        <w:jc w:val="center"/>
        <w:rPr>
          <w:b/>
          <w:sz w:val="36"/>
        </w:rPr>
      </w:pPr>
      <w:r>
        <w:rPr>
          <w:b/>
          <w:sz w:val="36"/>
        </w:rPr>
        <w:t>CREDIT RISK MANAGEMENT POLICY</w:t>
      </w:r>
    </w:p>
    <w:p>
      <w:pPr>
        <w:pStyle w:val="Normal"/>
        <w:pBdr>
          <w:top w:val="single" w:sz="4" w:space="1" w:color="000000"/>
          <w:left w:val="single" w:sz="4" w:space="4" w:color="000000"/>
          <w:bottom w:val="single" w:sz="4" w:space="1" w:color="000000"/>
          <w:right w:val="single" w:sz="4" w:space="4" w:color="000000"/>
        </w:pBdr>
        <w:jc w:val="center"/>
        <w:rPr>
          <w:b/>
          <w:sz w:val="36"/>
        </w:rPr>
      </w:pPr>
      <w:r>
        <w:rPr>
          <w:b/>
          <w:sz w:val="36"/>
        </w:rPr>
      </w:r>
    </w:p>
    <w:p>
      <w:pPr>
        <w:pStyle w:val="Normal"/>
        <w:pBdr>
          <w:top w:val="single" w:sz="4" w:space="1" w:color="000000"/>
          <w:left w:val="single" w:sz="4" w:space="4" w:color="000000"/>
          <w:bottom w:val="single" w:sz="4" w:space="1" w:color="000000"/>
          <w:right w:val="single" w:sz="4" w:space="4" w:color="000000"/>
        </w:pBdr>
        <w:jc w:val="center"/>
        <w:rPr>
          <w:b/>
          <w:sz w:val="36"/>
        </w:rPr>
      </w:pPr>
      <w:r>
        <w:rPr>
          <w:b/>
          <w:sz w:val="36"/>
        </w:rPr>
      </w:r>
    </w:p>
    <w:p>
      <w:pPr>
        <w:pStyle w:val="Normal"/>
        <w:pBdr>
          <w:top w:val="single" w:sz="4" w:space="1" w:color="000000"/>
          <w:left w:val="single" w:sz="4" w:space="4" w:color="000000"/>
          <w:bottom w:val="single" w:sz="4" w:space="1" w:color="000000"/>
          <w:right w:val="single" w:sz="4" w:space="4" w:color="000000"/>
        </w:pBdr>
        <w:jc w:val="center"/>
        <w:rPr>
          <w:b/>
          <w:sz w:val="36"/>
        </w:rPr>
      </w:pPr>
      <w:r>
        <w:rPr>
          <w:b/>
          <w:sz w:val="36"/>
        </w:rPr>
      </w:r>
    </w:p>
    <w:p>
      <w:pPr>
        <w:pStyle w:val="Normal"/>
        <w:pBdr>
          <w:top w:val="single" w:sz="4" w:space="1" w:color="000000"/>
          <w:left w:val="single" w:sz="4" w:space="4" w:color="000000"/>
          <w:bottom w:val="single" w:sz="4" w:space="1" w:color="000000"/>
          <w:right w:val="single" w:sz="4" w:space="4" w:color="000000"/>
        </w:pBdr>
        <w:jc w:val="center"/>
        <w:rPr>
          <w:b/>
          <w:sz w:val="36"/>
        </w:rPr>
      </w:pPr>
      <w:r>
        <w:rPr>
          <w:b/>
          <w:sz w:val="36"/>
        </w:rPr>
      </w:r>
    </w:p>
    <w:p>
      <w:pPr>
        <w:pStyle w:val="Normal"/>
        <w:pBdr>
          <w:top w:val="single" w:sz="4" w:space="1" w:color="000000"/>
          <w:left w:val="single" w:sz="4" w:space="4" w:color="000000"/>
          <w:bottom w:val="single" w:sz="4" w:space="1" w:color="000000"/>
          <w:right w:val="single" w:sz="4" w:space="4" w:color="000000"/>
        </w:pBdr>
        <w:jc w:val="center"/>
        <w:rPr>
          <w:b/>
          <w:sz w:val="36"/>
        </w:rPr>
      </w:pPr>
      <w:r>
        <w:rPr>
          <w:b/>
          <w:sz w:val="36"/>
        </w:rPr>
      </w:r>
    </w:p>
    <w:p>
      <w:pPr>
        <w:pStyle w:val="Normal"/>
        <w:pBdr>
          <w:top w:val="single" w:sz="4" w:space="1" w:color="000000"/>
          <w:left w:val="single" w:sz="4" w:space="4" w:color="000000"/>
          <w:bottom w:val="single" w:sz="4" w:space="1" w:color="000000"/>
          <w:right w:val="single" w:sz="4" w:space="4" w:color="000000"/>
        </w:pBdr>
        <w:jc w:val="center"/>
        <w:rPr>
          <w:b/>
          <w:sz w:val="36"/>
        </w:rPr>
      </w:pPr>
      <w:r>
        <w:rPr>
          <w:b/>
          <w:sz w:val="36"/>
        </w:rPr>
      </w:r>
    </w:p>
    <w:p>
      <w:pPr>
        <w:pStyle w:val="Normal"/>
        <w:pBdr>
          <w:top w:val="single" w:sz="4" w:space="1" w:color="000000"/>
          <w:left w:val="single" w:sz="4" w:space="4" w:color="000000"/>
          <w:bottom w:val="single" w:sz="4" w:space="1" w:color="000000"/>
          <w:right w:val="single" w:sz="4" w:space="4" w:color="000000"/>
        </w:pBdr>
        <w:jc w:val="center"/>
        <w:rPr>
          <w:b/>
          <w:sz w:val="36"/>
        </w:rPr>
      </w:pPr>
      <w:r>
        <w:rPr>
          <w:b/>
          <w:sz w:val="36"/>
        </w:rPr>
        <w:t>December 21, 2000</w:t>
      </w:r>
    </w:p>
    <w:p>
      <w:pPr>
        <w:pStyle w:val="Normal"/>
        <w:pBdr>
          <w:top w:val="single" w:sz="4" w:space="1" w:color="000000"/>
          <w:left w:val="single" w:sz="4" w:space="4" w:color="000000"/>
          <w:bottom w:val="single" w:sz="4" w:space="1" w:color="000000"/>
          <w:right w:val="single" w:sz="4" w:space="4" w:color="000000"/>
        </w:pBdr>
        <w:jc w:val="center"/>
        <w:rPr>
          <w:b/>
          <w:sz w:val="36"/>
        </w:rPr>
      </w:pPr>
      <w:r>
        <w:rPr>
          <w:b/>
          <w:sz w:val="36"/>
        </w:rPr>
      </w:r>
    </w:p>
    <w:p>
      <w:pPr>
        <w:pStyle w:val="Normal"/>
        <w:pBdr>
          <w:top w:val="single" w:sz="4" w:space="1" w:color="000000"/>
          <w:left w:val="single" w:sz="4" w:space="4" w:color="000000"/>
          <w:bottom w:val="single" w:sz="4" w:space="1" w:color="000000"/>
          <w:right w:val="single" w:sz="4" w:space="4" w:color="000000"/>
        </w:pBdr>
        <w:jc w:val="center"/>
        <w:rPr>
          <w:b/>
          <w:sz w:val="36"/>
        </w:rPr>
      </w:pPr>
      <w:r>
        <w:rPr>
          <w:b/>
          <w:sz w:val="36"/>
        </w:rPr>
      </w:r>
    </w:p>
    <w:p>
      <w:pPr>
        <w:pStyle w:val="Normal"/>
        <w:pBdr>
          <w:top w:val="single" w:sz="4" w:space="1" w:color="000000"/>
          <w:left w:val="single" w:sz="4" w:space="4" w:color="000000"/>
          <w:bottom w:val="single" w:sz="4" w:space="1" w:color="000000"/>
          <w:right w:val="single" w:sz="4" w:space="4" w:color="000000"/>
        </w:pBdr>
        <w:jc w:val="center"/>
        <w:rPr>
          <w:b/>
          <w:sz w:val="36"/>
        </w:rPr>
      </w:pPr>
      <w:r>
        <w:rPr>
          <w:b/>
          <w:sz w:val="36"/>
        </w:rPr>
      </w:r>
    </w:p>
    <w:p>
      <w:pPr>
        <w:pStyle w:val="Normal"/>
        <w:pBdr>
          <w:top w:val="single" w:sz="4" w:space="1" w:color="000000"/>
          <w:left w:val="single" w:sz="4" w:space="4" w:color="000000"/>
          <w:bottom w:val="single" w:sz="4" w:space="1" w:color="000000"/>
          <w:right w:val="single" w:sz="4" w:space="4" w:color="000000"/>
        </w:pBdr>
        <w:jc w:val="center"/>
        <w:rPr>
          <w:b/>
          <w:sz w:val="36"/>
        </w:rPr>
      </w:pPr>
      <w:r>
        <w:rPr>
          <w:b/>
          <w:sz w:val="36"/>
        </w:rPr>
      </w:r>
    </w:p>
    <w:p>
      <w:pPr>
        <w:pStyle w:val="Normal"/>
        <w:pBdr>
          <w:top w:val="single" w:sz="4" w:space="1" w:color="000000"/>
          <w:left w:val="single" w:sz="4" w:space="4" w:color="000000"/>
          <w:bottom w:val="single" w:sz="4" w:space="1" w:color="000000"/>
          <w:right w:val="single" w:sz="4" w:space="4" w:color="000000"/>
        </w:pBdr>
        <w:jc w:val="center"/>
        <w:rPr>
          <w:b/>
          <w:sz w:val="36"/>
        </w:rPr>
      </w:pPr>
      <w:r>
        <w:rPr>
          <w:b/>
          <w:sz w:val="36"/>
        </w:rPr>
      </w:r>
    </w:p>
    <w:p>
      <w:pPr>
        <w:pStyle w:val="Normal"/>
        <w:pBdr>
          <w:top w:val="single" w:sz="4" w:space="1" w:color="000000"/>
          <w:left w:val="single" w:sz="4" w:space="4" w:color="000000"/>
          <w:bottom w:val="single" w:sz="4" w:space="1" w:color="000000"/>
          <w:right w:val="single" w:sz="4" w:space="4" w:color="000000"/>
        </w:pBdr>
        <w:jc w:val="center"/>
        <w:rPr>
          <w:b/>
          <w:sz w:val="36"/>
        </w:rPr>
      </w:pPr>
      <w:r>
        <w:rPr>
          <w:b/>
          <w:sz w:val="36"/>
        </w:rPr>
      </w:r>
    </w:p>
    <w:p>
      <w:pPr>
        <w:pStyle w:val="Normal"/>
        <w:pBdr>
          <w:top w:val="single" w:sz="4" w:space="1" w:color="000000"/>
          <w:left w:val="single" w:sz="4" w:space="4" w:color="000000"/>
          <w:bottom w:val="single" w:sz="4" w:space="1" w:color="000000"/>
          <w:right w:val="single" w:sz="4" w:space="4" w:color="000000"/>
        </w:pBdr>
        <w:jc w:val="center"/>
        <w:rPr>
          <w:b/>
        </w:rPr>
      </w:pPr>
      <w:r>
        <w:rPr>
          <w:b/>
        </w:rPr>
        <w:t>Approved by Board of Directors on December 19, 2000</w:t>
      </w:r>
    </w:p>
    <w:p>
      <w:pPr>
        <w:pStyle w:val="Normal"/>
        <w:pBdr>
          <w:top w:val="single" w:sz="4" w:space="1" w:color="000000"/>
          <w:left w:val="single" w:sz="4" w:space="4" w:color="000000"/>
          <w:bottom w:val="single" w:sz="4" w:space="1" w:color="000000"/>
          <w:right w:val="single" w:sz="4" w:space="4" w:color="000000"/>
        </w:pBdr>
        <w:jc w:val="center"/>
        <w:rPr>
          <w:b/>
          <w:sz w:val="36"/>
        </w:rPr>
      </w:pPr>
      <w:r>
        <w:rPr>
          <w:b/>
          <w:sz w:val="36"/>
        </w:rPr>
      </w:r>
    </w:p>
    <w:p>
      <w:pPr>
        <w:pStyle w:val="Normal"/>
        <w:pBdr>
          <w:top w:val="single" w:sz="4" w:space="1" w:color="000000"/>
          <w:left w:val="single" w:sz="4" w:space="4" w:color="000000"/>
          <w:bottom w:val="single" w:sz="4" w:space="1" w:color="000000"/>
          <w:right w:val="single" w:sz="4" w:space="4" w:color="000000"/>
        </w:pBdr>
        <w:jc w:val="center"/>
        <w:rPr>
          <w:b/>
          <w:sz w:val="36"/>
        </w:rPr>
      </w:pPr>
      <w:r>
        <w:rPr>
          <w:b/>
          <w:sz w:val="36"/>
        </w:rPr>
      </w:r>
    </w:p>
    <w:p>
      <w:pPr>
        <w:pStyle w:val="Normal"/>
        <w:pBdr>
          <w:top w:val="single" w:sz="4" w:space="1" w:color="000000"/>
          <w:left w:val="single" w:sz="4" w:space="4" w:color="000000"/>
          <w:bottom w:val="single" w:sz="4" w:space="1" w:color="000000"/>
          <w:right w:val="single" w:sz="4" w:space="4" w:color="000000"/>
        </w:pBdr>
        <w:jc w:val="center"/>
        <w:rPr>
          <w:b/>
          <w:sz w:val="22"/>
          <w:u w:val="single"/>
        </w:rPr>
      </w:pPr>
      <w:r>
        <w:rPr>
          <w:b/>
          <w:sz w:val="22"/>
          <w:u w:val="single"/>
        </w:rPr>
        <w:t>PROPERTY OF EOTT ENERGY CORP.  FOR INTERNAL USE ONLY.</w:t>
      </w:r>
    </w:p>
    <w:p>
      <w:pPr>
        <w:pStyle w:val="Normal"/>
        <w:pBdr>
          <w:top w:val="single" w:sz="4" w:space="1" w:color="000000"/>
          <w:left w:val="single" w:sz="4" w:space="4" w:color="000000"/>
          <w:bottom w:val="single" w:sz="4" w:space="1" w:color="000000"/>
          <w:right w:val="single" w:sz="4" w:space="4" w:color="000000"/>
        </w:pBdr>
        <w:jc w:val="center"/>
        <w:rPr>
          <w:b/>
          <w:sz w:val="28"/>
          <w:u w:val="single"/>
        </w:rPr>
      </w:pPr>
      <w:r>
        <w:rPr>
          <w:b/>
          <w:sz w:val="28"/>
          <w:u w:val="single"/>
        </w:rPr>
      </w:r>
    </w:p>
    <w:p>
      <w:pPr>
        <w:pStyle w:val="Normal"/>
        <w:pBdr>
          <w:top w:val="single" w:sz="4" w:space="1" w:color="000000"/>
          <w:left w:val="single" w:sz="4" w:space="4" w:color="000000"/>
          <w:bottom w:val="single" w:sz="4" w:space="1" w:color="000000"/>
          <w:right w:val="single" w:sz="4" w:space="4" w:color="000000"/>
        </w:pBdr>
        <w:jc w:val="center"/>
        <w:rPr>
          <w:b/>
          <w:sz w:val="28"/>
          <w:u w:val="single"/>
        </w:rPr>
      </w:pPr>
      <w:r>
        <w:rPr>
          <w:b/>
          <w:sz w:val="28"/>
          <w:u w:val="single"/>
        </w:rPr>
      </w:r>
    </w:p>
    <w:p>
      <w:pPr>
        <w:pStyle w:val="Normal"/>
        <w:pBdr>
          <w:top w:val="single" w:sz="4" w:space="1" w:color="000000"/>
          <w:left w:val="single" w:sz="4" w:space="4" w:color="000000"/>
          <w:bottom w:val="single" w:sz="4" w:space="1" w:color="000000"/>
          <w:right w:val="single" w:sz="4" w:space="4" w:color="000000"/>
        </w:pBdr>
        <w:jc w:val="center"/>
        <w:rPr>
          <w:b/>
          <w:sz w:val="28"/>
          <w:u w:val="single"/>
        </w:rPr>
      </w:pPr>
      <w:r>
        <w:rPr>
          <w:b/>
          <w:sz w:val="28"/>
          <w:u w:val="single"/>
        </w:rPr>
      </w:r>
    </w:p>
    <w:p>
      <w:pPr>
        <w:pStyle w:val="Heading"/>
        <w:rPr>
          <w:b w:val="false"/>
          <w:sz w:val="28"/>
          <w:u w:val="single"/>
        </w:rPr>
      </w:pPr>
      <w:r>
        <w:rPr>
          <w:b w:val="false"/>
          <w:sz w:val="28"/>
          <w:u w:val="single"/>
        </w:rPr>
      </w:r>
    </w:p>
    <w:p>
      <w:pPr>
        <w:pStyle w:val="Heading"/>
        <w:rPr/>
      </w:pPr>
      <w:r>
        <w:rPr/>
      </w:r>
    </w:p>
    <w:p>
      <w:pPr>
        <w:pStyle w:val="Heading"/>
        <w:rPr/>
      </w:pPr>
      <w:r>
        <w:rPr/>
      </w:r>
    </w:p>
    <w:p>
      <w:pPr>
        <w:pStyle w:val="Heading"/>
        <w:rPr/>
      </w:pPr>
      <w:r>
        <w:rPr/>
      </w:r>
    </w:p>
    <w:p>
      <w:pPr>
        <w:pStyle w:val="Heading"/>
        <w:rPr/>
      </w:pPr>
      <w:r>
        <w:rPr/>
        <w:t xml:space="preserve">EOTT ENERGY OPERATING LIMITED PARTNERSHIP, </w:t>
      </w:r>
    </w:p>
    <w:p>
      <w:pPr>
        <w:pStyle w:val="Heading"/>
        <w:rPr/>
      </w:pPr>
      <w:r>
        <w:rPr/>
        <w:t>EOTT ENERGY PIPELINE LIMITED PARTNERSHIP</w:t>
      </w:r>
    </w:p>
    <w:p>
      <w:pPr>
        <w:pStyle w:val="Normal"/>
        <w:jc w:val="center"/>
        <w:rPr>
          <w:b/>
        </w:rPr>
      </w:pPr>
      <w:r>
        <w:rPr>
          <w:b/>
        </w:rPr>
        <w:t>and EOTT ENERGY CANDADA LIMITED PARNERSHIP</w:t>
      </w:r>
    </w:p>
    <w:p>
      <w:pPr>
        <w:pStyle w:val="Normal"/>
        <w:jc w:val="center"/>
        <w:rPr>
          <w:b/>
        </w:rPr>
      </w:pPr>
      <w:r>
        <w:rPr>
          <w:b/>
        </w:rPr>
      </w:r>
    </w:p>
    <w:p>
      <w:pPr>
        <w:pStyle w:val="Heading1"/>
        <w:ind w:hanging="0" w:start="0"/>
        <w:rPr/>
      </w:pPr>
      <w:r>
        <w:rPr/>
        <w:t>CREDIT RISK MANAGEMENT POLICY</w:t>
      </w:r>
    </w:p>
    <w:p>
      <w:pPr>
        <w:pStyle w:val="Normal"/>
        <w:jc w:val="center"/>
        <w:rPr>
          <w:b/>
        </w:rPr>
      </w:pPr>
      <w:r>
        <w:rPr>
          <w:b/>
        </w:rPr>
        <w:t>December 19, 2000</w:t>
      </w:r>
    </w:p>
    <w:p>
      <w:pPr>
        <w:pStyle w:val="Normal"/>
        <w:jc w:val="center"/>
        <w:rPr>
          <w:b/>
        </w:rPr>
      </w:pPr>
      <w:r>
        <w:rPr>
          <w:b/>
        </w:rPr>
      </w:r>
    </w:p>
    <w:p>
      <w:pPr>
        <w:pStyle w:val="Heading2"/>
        <w:numPr>
          <w:ilvl w:val="0"/>
          <w:numId w:val="5"/>
        </w:numPr>
        <w:ind w:hanging="0" w:start="0"/>
        <w:rPr/>
      </w:pPr>
      <w:r>
        <w:rPr/>
        <w:t>INTRODUCTION &amp; SCOPE</w:t>
      </w:r>
    </w:p>
    <w:p>
      <w:pPr>
        <w:pStyle w:val="Normal"/>
        <w:jc w:val="both"/>
        <w:rPr>
          <w:b/>
        </w:rPr>
      </w:pPr>
      <w:r>
        <w:rPr>
          <w:b/>
        </w:rPr>
      </w:r>
    </w:p>
    <w:p>
      <w:pPr>
        <w:pStyle w:val="BodyTextIndent"/>
        <w:ind w:start="0" w:end="0"/>
        <w:rPr/>
      </w:pPr>
      <w:r>
        <w:rPr/>
        <w:t>EOTT Energy Operating Limited Partnership and EOTT Energy Pipeline Limited Partnership, through their General Partner, EOTT Energy Corp and EOTT Energy Canada Limited Partnership, through its agent, EOTT Energy Canada, Ltd., (collectively “EOTT” or “the Company”), in connection with each entity’s marketing and trading activities, is authorized to execute commodity contracts and derivative instruments within such authorized limits required to support their businesses.  In connection with these activities, EOTT incurs the risk of financial loss from multiple counterparties having varying degrees of credit stability.  Counterparty credit risk results from:</w:t>
      </w:r>
    </w:p>
    <w:p>
      <w:pPr>
        <w:pStyle w:val="Normal"/>
        <w:jc w:val="both"/>
        <w:rPr/>
      </w:pPr>
      <w:r>
        <w:rPr/>
      </w:r>
    </w:p>
    <w:p>
      <w:pPr>
        <w:pStyle w:val="Normal"/>
        <w:numPr>
          <w:ilvl w:val="0"/>
          <w:numId w:val="4"/>
        </w:numPr>
        <w:jc w:val="both"/>
        <w:rPr/>
      </w:pPr>
      <w:r>
        <w:rPr>
          <w:i/>
        </w:rPr>
        <w:t>Mark-to-market (“MTM”) exposure:</w:t>
      </w:r>
      <w:r>
        <w:rPr/>
        <w:t xml:space="preserve"> the current replacement value of a contract.  The potential for a credit loss arises when a counterparty defaults on a contract that represents a beneficial interest or asset to EOTT at the time of default.</w:t>
      </w:r>
    </w:p>
    <w:p>
      <w:pPr>
        <w:pStyle w:val="Normal"/>
        <w:jc w:val="both"/>
        <w:rPr>
          <w:sz w:val="8"/>
        </w:rPr>
      </w:pPr>
      <w:r>
        <w:rPr>
          <w:sz w:val="8"/>
        </w:rPr>
      </w:r>
    </w:p>
    <w:p>
      <w:pPr>
        <w:pStyle w:val="Normal"/>
        <w:numPr>
          <w:ilvl w:val="0"/>
          <w:numId w:val="6"/>
        </w:numPr>
        <w:jc w:val="both"/>
        <w:rPr/>
      </w:pPr>
      <w:r>
        <w:rPr>
          <w:i/>
        </w:rPr>
        <w:t>Counterparty Value at Risk (“CVAR”) exposure:</w:t>
      </w:r>
      <w:r>
        <w:rPr/>
        <w:t xml:space="preserve">  The exposure that might occur in the future as a result of fluctuation of market prices, interest rates and exchange rates on the value of a contract.</w:t>
      </w:r>
    </w:p>
    <w:p>
      <w:pPr>
        <w:pStyle w:val="Normal"/>
        <w:jc w:val="both"/>
        <w:rPr>
          <w:sz w:val="8"/>
        </w:rPr>
      </w:pPr>
      <w:r>
        <w:rPr>
          <w:sz w:val="8"/>
        </w:rPr>
      </w:r>
    </w:p>
    <w:p>
      <w:pPr>
        <w:pStyle w:val="Normal"/>
        <w:numPr>
          <w:ilvl w:val="0"/>
          <w:numId w:val="2"/>
        </w:numPr>
        <w:jc w:val="both"/>
        <w:rPr/>
      </w:pPr>
      <w:r>
        <w:rPr>
          <w:i/>
        </w:rPr>
        <w:t>Physical delivery exposure (Receivable Risk):</w:t>
      </w:r>
      <w:r>
        <w:rPr/>
        <w:t xml:space="preserve"> the value of a physical product that has been delivered to a counterparty prior to receiving an appropriate payment.  A receivable is equal to the volume of the product delivered multiplied by the price per volumetric unit.</w:t>
      </w:r>
    </w:p>
    <w:p>
      <w:pPr>
        <w:pStyle w:val="Normal"/>
        <w:jc w:val="both"/>
        <w:rPr>
          <w:sz w:val="8"/>
        </w:rPr>
      </w:pPr>
      <w:r>
        <w:rPr>
          <w:sz w:val="8"/>
        </w:rPr>
      </w:r>
    </w:p>
    <w:p>
      <w:pPr>
        <w:pStyle w:val="BodyTextIndent"/>
        <w:numPr>
          <w:ilvl w:val="0"/>
          <w:numId w:val="9"/>
        </w:numPr>
        <w:rPr/>
      </w:pPr>
      <w:r>
        <w:rPr>
          <w:i/>
        </w:rPr>
        <w:t>Settlement exposure:</w:t>
      </w:r>
      <w:r>
        <w:rPr/>
        <w:t xml:space="preserve"> the risk that arises when payment by the counterparty has not been made by the contractual due date.</w:t>
      </w:r>
    </w:p>
    <w:p>
      <w:pPr>
        <w:pStyle w:val="Normal"/>
        <w:jc w:val="both"/>
        <w:rPr/>
      </w:pPr>
      <w:r>
        <w:rPr/>
      </w:r>
    </w:p>
    <w:p>
      <w:pPr>
        <w:pStyle w:val="BodyTextIndent2"/>
        <w:ind w:start="0" w:end="0"/>
        <w:rPr/>
      </w:pPr>
      <w:r>
        <w:rPr/>
        <w:t>This Credit Risk Management Policy (the “Policy”) applies to all of EOTT’s business units involved in marketing, transporting and trading of crude, refined products, Natural Gas Liquids (NGLs’) or other commodities authorized under EOTT’s Risk Management Policy and outlines the guidelines by which EOTT assesses, manages and controls credit risk.  The purpose of this Policy is to:</w:t>
      </w:r>
    </w:p>
    <w:p>
      <w:pPr>
        <w:pStyle w:val="BodyTextIndent2"/>
        <w:ind w:start="0" w:end="0"/>
        <w:rPr/>
      </w:pPr>
      <w:r>
        <w:rPr/>
      </w:r>
    </w:p>
    <w:p>
      <w:pPr>
        <w:pStyle w:val="Normal"/>
        <w:numPr>
          <w:ilvl w:val="0"/>
          <w:numId w:val="7"/>
        </w:numPr>
        <w:jc w:val="both"/>
        <w:rPr/>
      </w:pPr>
      <w:r>
        <w:rPr/>
        <w:t>communicate credit policies to commercial and support personnel;</w:t>
      </w:r>
    </w:p>
    <w:p>
      <w:pPr>
        <w:pStyle w:val="Normal"/>
        <w:numPr>
          <w:ilvl w:val="0"/>
          <w:numId w:val="7"/>
        </w:numPr>
        <w:jc w:val="both"/>
        <w:rPr/>
      </w:pPr>
      <w:r>
        <w:rPr/>
        <w:t>outline responsibilities and importance of managing credit risk;</w:t>
      </w:r>
    </w:p>
    <w:p>
      <w:pPr>
        <w:pStyle w:val="Normal"/>
        <w:numPr>
          <w:ilvl w:val="0"/>
          <w:numId w:val="7"/>
        </w:numPr>
        <w:jc w:val="both"/>
        <w:rPr/>
      </w:pPr>
      <w:r>
        <w:rPr/>
        <w:t>highlight the transaction approval process;</w:t>
      </w:r>
    </w:p>
    <w:p>
      <w:pPr>
        <w:pStyle w:val="Normal"/>
        <w:numPr>
          <w:ilvl w:val="0"/>
          <w:numId w:val="7"/>
        </w:numPr>
        <w:jc w:val="both"/>
        <w:rPr/>
      </w:pPr>
      <w:r>
        <w:rPr/>
        <w:t>guide credit analysts on the counterparty approval and assessment process; and</w:t>
      </w:r>
    </w:p>
    <w:p>
      <w:pPr>
        <w:pStyle w:val="Normal"/>
        <w:numPr>
          <w:ilvl w:val="0"/>
          <w:numId w:val="7"/>
        </w:numPr>
        <w:jc w:val="both"/>
        <w:rPr/>
      </w:pPr>
      <w:r>
        <w:rPr/>
        <w:t>provide a framework to refine credit policies to minimize the risk of credit loss.</w:t>
      </w:r>
    </w:p>
    <w:p>
      <w:pPr>
        <w:pStyle w:val="Normal"/>
        <w:jc w:val="both"/>
        <w:rPr/>
      </w:pPr>
      <w:r>
        <w:rPr/>
      </w:r>
    </w:p>
    <w:p>
      <w:pPr>
        <w:pStyle w:val="Heading2"/>
        <w:numPr>
          <w:ilvl w:val="0"/>
          <w:numId w:val="5"/>
        </w:numPr>
        <w:ind w:hanging="0" w:start="0"/>
        <w:rPr/>
      </w:pPr>
      <w:r>
        <w:rPr/>
        <w:t>RESPONSIBILITY</w:t>
      </w:r>
    </w:p>
    <w:p>
      <w:pPr>
        <w:pStyle w:val="Normal"/>
        <w:rPr/>
      </w:pPr>
      <w:r>
        <w:rPr/>
      </w:r>
    </w:p>
    <w:p>
      <w:pPr>
        <w:pStyle w:val="BodyTextIndent2"/>
        <w:numPr>
          <w:ilvl w:val="0"/>
          <w:numId w:val="0"/>
        </w:numPr>
        <w:ind w:hanging="0" w:start="0"/>
        <w:rPr/>
      </w:pPr>
      <w:r>
        <w:rPr/>
        <w:t>The responsibility for maintaining and enforcing the Policy rests with the Chief Financial Officer (“CFO”).  The Credit Department (“Credit”), reporting to the Treasurer, operates independently of commercial personnel and is responsible for consistently approving, monitoring, mitigating, and communicating all credit risk resulting from EOTT’s marketing, transporting and trading activities.  The following items outline the key responsibilities of  Credit:</w:t>
      </w:r>
    </w:p>
    <w:p>
      <w:pPr>
        <w:pStyle w:val="Normal"/>
        <w:rPr/>
      </w:pPr>
      <w:r>
        <w:rPr/>
      </w:r>
    </w:p>
    <w:p>
      <w:pPr>
        <w:pStyle w:val="Normal"/>
        <w:numPr>
          <w:ilvl w:val="0"/>
          <w:numId w:val="11"/>
        </w:numPr>
        <w:jc w:val="both"/>
        <w:rPr/>
      </w:pPr>
      <w:r>
        <w:rPr/>
        <w:t>centrally manage the Company’s credit exposure pursuant to this Policy;</w:t>
      </w:r>
    </w:p>
    <w:p>
      <w:pPr>
        <w:pStyle w:val="Normal"/>
        <w:numPr>
          <w:ilvl w:val="0"/>
          <w:numId w:val="11"/>
        </w:numPr>
        <w:jc w:val="both"/>
        <w:rPr/>
      </w:pPr>
      <w:r>
        <w:rPr/>
        <w:t>aggregate credit risk across the Company and review the risk profile of the overall portfolio;</w:t>
      </w:r>
    </w:p>
    <w:p>
      <w:pPr>
        <w:pStyle w:val="Normal"/>
        <w:numPr>
          <w:ilvl w:val="0"/>
          <w:numId w:val="11"/>
        </w:numPr>
        <w:jc w:val="both"/>
        <w:rPr/>
      </w:pPr>
      <w:r>
        <w:rPr/>
        <w:t>independently review transactions prior to execution in order to identify, measure and price the associated credit risk;</w:t>
      </w:r>
    </w:p>
    <w:p>
      <w:pPr>
        <w:pStyle w:val="Normal"/>
        <w:numPr>
          <w:ilvl w:val="0"/>
          <w:numId w:val="11"/>
        </w:numPr>
        <w:jc w:val="both"/>
        <w:rPr/>
      </w:pPr>
      <w:r>
        <w:rPr/>
        <w:t>establish and maintain credit reserves against potential credit losses as appropriate;</w:t>
      </w:r>
    </w:p>
    <w:p>
      <w:pPr>
        <w:pStyle w:val="Normal"/>
        <w:numPr>
          <w:ilvl w:val="0"/>
          <w:numId w:val="11"/>
        </w:numPr>
        <w:jc w:val="both"/>
        <w:rPr/>
      </w:pPr>
      <w:r>
        <w:rPr/>
        <w:t>recommend potential credit risk mitigation opportunities where feasible;</w:t>
      </w:r>
    </w:p>
    <w:p>
      <w:pPr>
        <w:pStyle w:val="Normal"/>
        <w:numPr>
          <w:ilvl w:val="0"/>
          <w:numId w:val="11"/>
        </w:numPr>
        <w:jc w:val="both"/>
        <w:rPr/>
      </w:pPr>
      <w:r>
        <w:rPr/>
        <w:t xml:space="preserve">approve and track exceptions to the Policy and report exception trends; and </w:t>
      </w:r>
    </w:p>
    <w:p>
      <w:pPr>
        <w:pStyle w:val="Normal"/>
        <w:numPr>
          <w:ilvl w:val="0"/>
          <w:numId w:val="11"/>
        </w:numPr>
        <w:jc w:val="both"/>
        <w:rPr/>
      </w:pPr>
      <w:r>
        <w:rPr/>
        <w:t>Compile credit exposure reports for senior management and the Board of Directors.</w:t>
      </w:r>
    </w:p>
    <w:p>
      <w:pPr>
        <w:pStyle w:val="Normal"/>
        <w:jc w:val="both"/>
        <w:rPr/>
      </w:pPr>
      <w:r>
        <w:rPr/>
      </w:r>
    </w:p>
    <w:p>
      <w:pPr>
        <w:pStyle w:val="Normal"/>
        <w:jc w:val="both"/>
        <w:rPr/>
      </w:pPr>
      <w:r>
        <w:rPr/>
        <w:t>The appropriate levels of management as indicated within this Policy must approve any exceptions to established policies.  Credit will amend the Policy as needed based on the demand of the business units and the changing business environment.  Credit will also, in conjunction with the CFO, be responsible for resolving issues pertaining to the interpretation or application of  this Policy.</w:t>
      </w:r>
    </w:p>
    <w:p>
      <w:pPr>
        <w:pStyle w:val="Heading2"/>
        <w:numPr>
          <w:ilvl w:val="0"/>
          <w:numId w:val="0"/>
        </w:numPr>
        <w:ind w:hanging="0" w:start="0"/>
        <w:rPr/>
      </w:pPr>
      <w:r>
        <w:rPr/>
      </w:r>
    </w:p>
    <w:p>
      <w:pPr>
        <w:pStyle w:val="Normal"/>
        <w:rPr/>
      </w:pPr>
      <w:r>
        <w:rPr/>
      </w:r>
    </w:p>
    <w:p>
      <w:pPr>
        <w:pStyle w:val="Normal"/>
        <w:rPr/>
      </w:pPr>
      <w:r>
        <w:rPr/>
      </w:r>
    </w:p>
    <w:p>
      <w:pPr>
        <w:pStyle w:val="Normal"/>
        <w:rPr/>
      </w:pPr>
      <w:r>
        <w:rPr/>
      </w:r>
    </w:p>
    <w:p>
      <w:pPr>
        <w:pStyle w:val="Normal"/>
        <w:rPr/>
      </w:pPr>
      <w:r>
        <w:rPr/>
      </w:r>
    </w:p>
    <w:p>
      <w:pPr>
        <w:pStyle w:val="Heading2"/>
        <w:numPr>
          <w:ilvl w:val="0"/>
          <w:numId w:val="5"/>
        </w:numPr>
        <w:ind w:hanging="0" w:start="0"/>
        <w:rPr/>
      </w:pPr>
      <w:r>
        <w:rPr/>
        <w:t>CREDIT RISK MANAGEMENT REVIEW POLICIES</w:t>
      </w:r>
    </w:p>
    <w:p>
      <w:pPr>
        <w:pStyle w:val="Heading2"/>
        <w:numPr>
          <w:ilvl w:val="0"/>
          <w:numId w:val="0"/>
        </w:numPr>
        <w:ind w:hanging="0" w:start="0"/>
        <w:rPr/>
      </w:pPr>
      <w:r>
        <w:rPr/>
      </w:r>
    </w:p>
    <w:p>
      <w:pPr>
        <w:pStyle w:val="Heading2"/>
        <w:numPr>
          <w:ilvl w:val="0"/>
          <w:numId w:val="0"/>
        </w:numPr>
        <w:ind w:hanging="0" w:start="0"/>
        <w:rPr>
          <w:u w:val="single"/>
        </w:rPr>
      </w:pPr>
      <w:r>
        <w:rPr>
          <w:u w:val="single"/>
        </w:rPr>
        <w:t>A. Counterparty Approval &amp; Assessment Process</w:t>
      </w:r>
    </w:p>
    <w:p>
      <w:pPr>
        <w:pStyle w:val="Normal"/>
        <w:jc w:val="both"/>
        <w:rPr>
          <w:b/>
          <w:u w:val="single"/>
        </w:rPr>
      </w:pPr>
      <w:r>
        <w:rPr>
          <w:b/>
          <w:u w:val="single"/>
        </w:rPr>
      </w:r>
    </w:p>
    <w:p>
      <w:pPr>
        <w:pStyle w:val="Normal"/>
        <w:jc w:val="both"/>
        <w:rPr/>
      </w:pPr>
      <w:r>
        <w:rPr/>
        <w:t>Assessing counterparty creditworthiness is an integral part of determining the Company’s credit risk.  Credit has developed various guidelines, standards and processes for reviewing counterparty activities to assist in limiting and monitoring credit exposure.  In general, Credit reviews quantitative and qualitative counterparty information including</w:t>
      </w:r>
      <w:r>
        <w:rPr>
          <w:u w:val="single"/>
        </w:rPr>
        <w:t xml:space="preserve"> </w:t>
      </w:r>
      <w:r>
        <w:rPr/>
        <w:t>published credit ratings (e.g. S&amp;P, Moody’s and other rating agencies), financial statements, management changes, industry rankings, trading activities and controls, etc.</w:t>
      </w:r>
    </w:p>
    <w:p>
      <w:pPr>
        <w:pStyle w:val="Normal"/>
        <w:ind w:start="288" w:end="0"/>
        <w:jc w:val="both"/>
        <w:rPr/>
      </w:pPr>
      <w:r>
        <w:rPr/>
      </w:r>
    </w:p>
    <w:p>
      <w:pPr>
        <w:pStyle w:val="Normal"/>
        <w:jc w:val="both"/>
        <w:rPr/>
      </w:pPr>
      <w:r>
        <w:rPr/>
        <w:t>If public ratings are available, Credit utilizes these ratings as a benchmark when establishing credit limits.  In general, for investment grade counterparty, the credit limit is established at 10-15% of net worth.  For non-rated or non-investment grade counterparties, credit limits are assigned based upon a customer’s risk score analyzed through Moody’s Accelerate Decision model. Although quantitative results are the primary drivers in the final credit limit assigned to a counterparty, the quality of the creditworthiness assessment is dependent upon the availability of financial or general public information and on qualitative data obtained from external sources such as reference materials, interviews with counterparty management, analyst commentary and other sources.</w:t>
      </w:r>
    </w:p>
    <w:p>
      <w:pPr>
        <w:pStyle w:val="Normal"/>
        <w:jc w:val="both"/>
        <w:rPr/>
      </w:pPr>
      <w:r>
        <w:rPr/>
      </w:r>
    </w:p>
    <w:p>
      <w:pPr>
        <w:pStyle w:val="Normal"/>
        <w:jc w:val="both"/>
        <w:rPr/>
      </w:pPr>
      <w:r>
        <w:rPr/>
        <w:t xml:space="preserve">For a new counterparty, commercial personnel should contact Credit to establish a new credit limit or seek approval for an individual transaction.  Additionally, commercial personnel should provide Credit with the counterparty's correct legal name, current financial statements if available, contact information and details of the transaction structure along with a term sheet when available.   If in the opinion of Credit, a counterparty does not warrant open trade credit, Credit will advise commercial personnel that any delivery  must be secured with collateral from the customer, to be established and received before delivery of commodity to the customer.  </w:t>
      </w:r>
    </w:p>
    <w:p>
      <w:pPr>
        <w:pStyle w:val="Normal"/>
        <w:jc w:val="both"/>
        <w:rPr/>
      </w:pPr>
      <w:r>
        <w:rPr/>
      </w:r>
    </w:p>
    <w:p>
      <w:pPr>
        <w:pStyle w:val="Normal"/>
        <w:rPr>
          <w:b/>
          <w:i/>
          <w:i/>
        </w:rPr>
      </w:pPr>
      <w:r>
        <w:rPr>
          <w:b/>
          <w:i/>
        </w:rPr>
        <w:t>Credit Limit Approvals &amp; Monitoring</w:t>
      </w:r>
    </w:p>
    <w:p>
      <w:pPr>
        <w:pStyle w:val="Normal"/>
        <w:rPr>
          <w:b/>
          <w:i/>
          <w:i/>
        </w:rPr>
      </w:pPr>
      <w:r>
        <w:rPr>
          <w:b/>
          <w:i/>
        </w:rPr>
      </w:r>
    </w:p>
    <w:p>
      <w:pPr>
        <w:pStyle w:val="BodyText3"/>
        <w:spacing w:before="0" w:after="0"/>
        <w:rPr>
          <w:sz w:val="20"/>
        </w:rPr>
      </w:pPr>
      <w:r>
        <w:rPr>
          <w:sz w:val="20"/>
        </w:rPr>
        <w:t>Credit limits are approved and governed by the guidelines reflected in the matrix below.  Limits are subject to review and adjustment by Credit.  To the extent a counterparty’s exposure exceeds its pre-assigned limit, the overage should be reported to the Treasurer.</w:t>
      </w:r>
    </w:p>
    <w:p>
      <w:pPr>
        <w:pStyle w:val="Normal"/>
        <w:jc w:val="both"/>
        <w:rPr>
          <w:sz w:val="20"/>
        </w:rPr>
      </w:pPr>
      <w:r>
        <w:rPr>
          <w:sz w:val="20"/>
        </w:rPr>
      </w:r>
    </w:p>
    <w:p>
      <w:pPr>
        <w:pStyle w:val="Normal"/>
        <w:ind w:firstLine="720" w:end="0"/>
        <w:jc w:val="both"/>
        <w:rPr>
          <w:i/>
          <w:i/>
        </w:rPr>
      </w:pPr>
      <w:r>
        <w:rPr>
          <w:i/>
        </w:rPr>
      </w:r>
    </w:p>
    <w:tbl>
      <w:tblPr>
        <w:tblW w:w="7380" w:type="dxa"/>
        <w:jc w:val="start"/>
        <w:tblInd w:w="1818" w:type="dxa"/>
        <w:tblLayout w:type="fixed"/>
        <w:tblCellMar>
          <w:top w:w="0" w:type="dxa"/>
          <w:start w:w="108" w:type="dxa"/>
          <w:bottom w:w="0" w:type="dxa"/>
          <w:end w:w="108" w:type="dxa"/>
        </w:tblCellMar>
      </w:tblPr>
      <w:tblGrid>
        <w:gridCol w:w="3150"/>
        <w:gridCol w:w="1890"/>
        <w:gridCol w:w="2340"/>
      </w:tblGrid>
      <w:tr>
        <w:trPr/>
        <w:tc>
          <w:tcPr>
            <w:tcW w:w="3150" w:type="dxa"/>
            <w:tcBorders>
              <w:top w:val="single" w:sz="6" w:space="0" w:color="000000"/>
              <w:start w:val="single" w:sz="6" w:space="0" w:color="000000"/>
              <w:bottom w:val="single" w:sz="6" w:space="0" w:color="000000"/>
              <w:end w:val="single" w:sz="6" w:space="0" w:color="000000"/>
            </w:tcBorders>
          </w:tcPr>
          <w:p>
            <w:pPr>
              <w:pStyle w:val="Normal"/>
              <w:spacing w:before="0" w:after="120"/>
              <w:jc w:val="center"/>
              <w:rPr>
                <w:b/>
              </w:rPr>
            </w:pPr>
            <w:r>
              <w:rPr>
                <w:b/>
              </w:rPr>
              <w:t>Level</w:t>
            </w:r>
          </w:p>
        </w:tc>
        <w:tc>
          <w:tcPr>
            <w:tcW w:w="1890" w:type="dxa"/>
            <w:tcBorders>
              <w:top w:val="single" w:sz="6" w:space="0" w:color="000000"/>
              <w:start w:val="single" w:sz="6" w:space="0" w:color="000000"/>
              <w:bottom w:val="single" w:sz="6" w:space="0" w:color="000000"/>
              <w:end w:val="single" w:sz="6" w:space="0" w:color="000000"/>
            </w:tcBorders>
          </w:tcPr>
          <w:p>
            <w:pPr>
              <w:pStyle w:val="Heading1"/>
              <w:spacing w:before="0" w:after="120"/>
              <w:ind w:hanging="0" w:start="0"/>
              <w:rPr/>
            </w:pPr>
            <w:r>
              <w:rPr/>
              <w:t>Investment Grade</w:t>
            </w:r>
          </w:p>
        </w:tc>
        <w:tc>
          <w:tcPr>
            <w:tcW w:w="2340" w:type="dxa"/>
            <w:tcBorders>
              <w:top w:val="single" w:sz="6" w:space="0" w:color="000000"/>
              <w:start w:val="single" w:sz="6" w:space="0" w:color="000000"/>
              <w:bottom w:val="single" w:sz="6" w:space="0" w:color="000000"/>
              <w:end w:val="single" w:sz="6" w:space="0" w:color="000000"/>
            </w:tcBorders>
          </w:tcPr>
          <w:p>
            <w:pPr>
              <w:pStyle w:val="Normal"/>
              <w:jc w:val="center"/>
              <w:rPr>
                <w:b/>
              </w:rPr>
            </w:pPr>
            <w:r>
              <w:rPr>
                <w:b/>
              </w:rPr>
              <w:t>Non-Investment Grade</w:t>
            </w:r>
          </w:p>
        </w:tc>
      </w:tr>
      <w:tr>
        <w:trPr/>
        <w:tc>
          <w:tcPr>
            <w:tcW w:w="3150" w:type="dxa"/>
            <w:tcBorders>
              <w:top w:val="single" w:sz="6" w:space="0" w:color="000000"/>
              <w:start w:val="single" w:sz="6" w:space="0" w:color="000000"/>
              <w:bottom w:val="single" w:sz="6" w:space="0" w:color="000000"/>
              <w:end w:val="single" w:sz="6" w:space="0" w:color="000000"/>
            </w:tcBorders>
          </w:tcPr>
          <w:p>
            <w:pPr>
              <w:pStyle w:val="Normal"/>
              <w:spacing w:before="0" w:after="120"/>
              <w:rPr/>
            </w:pPr>
            <w:r>
              <w:rPr/>
              <w:t>Credit Analyst/Rep</w:t>
            </w:r>
          </w:p>
        </w:tc>
        <w:tc>
          <w:tcPr>
            <w:tcW w:w="1890" w:type="dxa"/>
            <w:tcBorders>
              <w:top w:val="single" w:sz="6" w:space="0" w:color="000000"/>
              <w:start w:val="single" w:sz="6" w:space="0" w:color="000000"/>
              <w:bottom w:val="single" w:sz="6" w:space="0" w:color="000000"/>
              <w:end w:val="single" w:sz="6" w:space="0" w:color="000000"/>
            </w:tcBorders>
          </w:tcPr>
          <w:p>
            <w:pPr>
              <w:pStyle w:val="Normal"/>
              <w:spacing w:before="0" w:after="120"/>
              <w:jc w:val="center"/>
              <w:rPr/>
            </w:pPr>
            <w:r>
              <w:rPr/>
              <w:t>$500K</w:t>
            </w:r>
          </w:p>
        </w:tc>
        <w:tc>
          <w:tcPr>
            <w:tcW w:w="2340" w:type="dxa"/>
            <w:tcBorders>
              <w:top w:val="single" w:sz="6" w:space="0" w:color="000000"/>
              <w:start w:val="single" w:sz="6" w:space="0" w:color="000000"/>
              <w:bottom w:val="single" w:sz="6" w:space="0" w:color="000000"/>
              <w:end w:val="single" w:sz="6" w:space="0" w:color="000000"/>
            </w:tcBorders>
          </w:tcPr>
          <w:p>
            <w:pPr>
              <w:pStyle w:val="Normal"/>
              <w:spacing w:before="0" w:after="120"/>
              <w:jc w:val="center"/>
              <w:rPr/>
            </w:pPr>
            <w:r>
              <w:rPr/>
              <w:t>$0</w:t>
            </w:r>
          </w:p>
        </w:tc>
      </w:tr>
      <w:tr>
        <w:trPr/>
        <w:tc>
          <w:tcPr>
            <w:tcW w:w="3150" w:type="dxa"/>
            <w:tcBorders>
              <w:top w:val="single" w:sz="6" w:space="0" w:color="000000"/>
              <w:start w:val="single" w:sz="6" w:space="0" w:color="000000"/>
              <w:bottom w:val="single" w:sz="6" w:space="0" w:color="000000"/>
              <w:end w:val="single" w:sz="6" w:space="0" w:color="000000"/>
            </w:tcBorders>
          </w:tcPr>
          <w:p>
            <w:pPr>
              <w:pStyle w:val="Normal"/>
              <w:spacing w:before="0" w:after="120"/>
              <w:rPr/>
            </w:pPr>
            <w:r>
              <w:rPr/>
              <w:t>Manager/Director</w:t>
            </w:r>
          </w:p>
        </w:tc>
        <w:tc>
          <w:tcPr>
            <w:tcW w:w="1890" w:type="dxa"/>
            <w:tcBorders>
              <w:top w:val="single" w:sz="6" w:space="0" w:color="000000"/>
              <w:start w:val="single" w:sz="6" w:space="0" w:color="000000"/>
              <w:bottom w:val="single" w:sz="6" w:space="0" w:color="000000"/>
              <w:end w:val="single" w:sz="6" w:space="0" w:color="000000"/>
            </w:tcBorders>
          </w:tcPr>
          <w:p>
            <w:pPr>
              <w:pStyle w:val="Normal"/>
              <w:spacing w:before="0" w:after="120"/>
              <w:jc w:val="center"/>
              <w:rPr/>
            </w:pPr>
            <w:r>
              <w:rPr/>
              <w:t>$2MM</w:t>
            </w:r>
          </w:p>
        </w:tc>
        <w:tc>
          <w:tcPr>
            <w:tcW w:w="2340" w:type="dxa"/>
            <w:tcBorders>
              <w:top w:val="single" w:sz="6" w:space="0" w:color="000000"/>
              <w:start w:val="single" w:sz="6" w:space="0" w:color="000000"/>
              <w:bottom w:val="single" w:sz="6" w:space="0" w:color="000000"/>
              <w:end w:val="single" w:sz="6" w:space="0" w:color="000000"/>
            </w:tcBorders>
          </w:tcPr>
          <w:p>
            <w:pPr>
              <w:pStyle w:val="Normal"/>
              <w:spacing w:before="0" w:after="120"/>
              <w:jc w:val="center"/>
              <w:rPr/>
            </w:pPr>
            <w:r>
              <w:rPr/>
              <w:t>$500K</w:t>
            </w:r>
          </w:p>
        </w:tc>
      </w:tr>
      <w:tr>
        <w:trPr/>
        <w:tc>
          <w:tcPr>
            <w:tcW w:w="3150" w:type="dxa"/>
            <w:tcBorders>
              <w:top w:val="single" w:sz="6" w:space="0" w:color="000000"/>
              <w:start w:val="single" w:sz="6" w:space="0" w:color="000000"/>
              <w:bottom w:val="single" w:sz="6" w:space="0" w:color="000000"/>
              <w:end w:val="single" w:sz="6" w:space="0" w:color="000000"/>
            </w:tcBorders>
          </w:tcPr>
          <w:p>
            <w:pPr>
              <w:pStyle w:val="Normal"/>
              <w:spacing w:before="0" w:after="120"/>
              <w:rPr/>
            </w:pPr>
            <w:r>
              <w:rPr/>
              <w:t>Treasurer</w:t>
            </w:r>
          </w:p>
        </w:tc>
        <w:tc>
          <w:tcPr>
            <w:tcW w:w="1890" w:type="dxa"/>
            <w:tcBorders>
              <w:top w:val="single" w:sz="6" w:space="0" w:color="000000"/>
              <w:start w:val="single" w:sz="6" w:space="0" w:color="000000"/>
              <w:bottom w:val="single" w:sz="6" w:space="0" w:color="000000"/>
              <w:end w:val="single" w:sz="6" w:space="0" w:color="000000"/>
            </w:tcBorders>
          </w:tcPr>
          <w:p>
            <w:pPr>
              <w:pStyle w:val="Normal"/>
              <w:spacing w:before="0" w:after="120"/>
              <w:jc w:val="center"/>
              <w:rPr/>
            </w:pPr>
            <w:r>
              <w:rPr/>
              <w:t>$10MM</w:t>
            </w:r>
          </w:p>
        </w:tc>
        <w:tc>
          <w:tcPr>
            <w:tcW w:w="2340" w:type="dxa"/>
            <w:tcBorders>
              <w:top w:val="single" w:sz="6" w:space="0" w:color="000000"/>
              <w:start w:val="single" w:sz="6" w:space="0" w:color="000000"/>
              <w:bottom w:val="single" w:sz="6" w:space="0" w:color="000000"/>
              <w:end w:val="single" w:sz="6" w:space="0" w:color="000000"/>
            </w:tcBorders>
          </w:tcPr>
          <w:p>
            <w:pPr>
              <w:pStyle w:val="Normal"/>
              <w:spacing w:before="0" w:after="120"/>
              <w:jc w:val="center"/>
              <w:rPr/>
            </w:pPr>
            <w:r>
              <w:rPr/>
              <w:t>$2MM</w:t>
            </w:r>
          </w:p>
        </w:tc>
      </w:tr>
      <w:tr>
        <w:trPr/>
        <w:tc>
          <w:tcPr>
            <w:tcW w:w="3150" w:type="dxa"/>
            <w:tcBorders>
              <w:top w:val="single" w:sz="6" w:space="0" w:color="000000"/>
              <w:start w:val="single" w:sz="6" w:space="0" w:color="000000"/>
              <w:bottom w:val="single" w:sz="6" w:space="0" w:color="000000"/>
              <w:end w:val="single" w:sz="6" w:space="0" w:color="000000"/>
            </w:tcBorders>
          </w:tcPr>
          <w:p>
            <w:pPr>
              <w:pStyle w:val="Normal"/>
              <w:spacing w:before="0" w:after="120"/>
              <w:rPr/>
            </w:pPr>
            <w:r>
              <w:rPr/>
              <w:t>CFO</w:t>
            </w:r>
          </w:p>
        </w:tc>
        <w:tc>
          <w:tcPr>
            <w:tcW w:w="1890" w:type="dxa"/>
            <w:tcBorders>
              <w:top w:val="single" w:sz="6" w:space="0" w:color="000000"/>
              <w:start w:val="single" w:sz="6" w:space="0" w:color="000000"/>
              <w:bottom w:val="single" w:sz="6" w:space="0" w:color="000000"/>
              <w:end w:val="single" w:sz="6" w:space="0" w:color="000000"/>
            </w:tcBorders>
          </w:tcPr>
          <w:p>
            <w:pPr>
              <w:pStyle w:val="Normal"/>
              <w:spacing w:before="0" w:after="120"/>
              <w:jc w:val="center"/>
              <w:rPr/>
            </w:pPr>
            <w:r>
              <w:rPr/>
              <w:t>$20MM</w:t>
            </w:r>
          </w:p>
        </w:tc>
        <w:tc>
          <w:tcPr>
            <w:tcW w:w="2340" w:type="dxa"/>
            <w:tcBorders>
              <w:top w:val="single" w:sz="6" w:space="0" w:color="000000"/>
              <w:start w:val="single" w:sz="6" w:space="0" w:color="000000"/>
              <w:bottom w:val="single" w:sz="6" w:space="0" w:color="000000"/>
              <w:end w:val="single" w:sz="6" w:space="0" w:color="000000"/>
            </w:tcBorders>
          </w:tcPr>
          <w:p>
            <w:pPr>
              <w:pStyle w:val="Normal"/>
              <w:spacing w:before="0" w:after="120"/>
              <w:jc w:val="center"/>
              <w:rPr/>
            </w:pPr>
            <w:r>
              <w:rPr/>
              <w:t>$10MM</w:t>
            </w:r>
          </w:p>
        </w:tc>
      </w:tr>
      <w:tr>
        <w:trPr/>
        <w:tc>
          <w:tcPr>
            <w:tcW w:w="3150" w:type="dxa"/>
            <w:tcBorders>
              <w:top w:val="single" w:sz="6" w:space="0" w:color="000000"/>
              <w:start w:val="single" w:sz="6" w:space="0" w:color="000000"/>
              <w:bottom w:val="single" w:sz="6" w:space="0" w:color="000000"/>
              <w:end w:val="single" w:sz="6" w:space="0" w:color="000000"/>
            </w:tcBorders>
          </w:tcPr>
          <w:p>
            <w:pPr>
              <w:pStyle w:val="Normal"/>
              <w:spacing w:before="0" w:after="120"/>
              <w:rPr/>
            </w:pPr>
            <w:r>
              <w:rPr/>
              <w:t>Office of the Chairman</w:t>
            </w:r>
          </w:p>
        </w:tc>
        <w:tc>
          <w:tcPr>
            <w:tcW w:w="1890" w:type="dxa"/>
            <w:tcBorders>
              <w:top w:val="single" w:sz="6" w:space="0" w:color="000000"/>
              <w:start w:val="single" w:sz="6" w:space="0" w:color="000000"/>
              <w:bottom w:val="single" w:sz="6" w:space="0" w:color="000000"/>
              <w:end w:val="single" w:sz="6" w:space="0" w:color="000000"/>
            </w:tcBorders>
          </w:tcPr>
          <w:p>
            <w:pPr>
              <w:pStyle w:val="Normal"/>
              <w:spacing w:before="0" w:after="120"/>
              <w:jc w:val="center"/>
              <w:rPr/>
            </w:pPr>
            <w:r>
              <w:rPr/>
              <w:t>Over $20MM</w:t>
            </w:r>
          </w:p>
        </w:tc>
        <w:tc>
          <w:tcPr>
            <w:tcW w:w="2340" w:type="dxa"/>
            <w:tcBorders>
              <w:top w:val="single" w:sz="6" w:space="0" w:color="000000"/>
              <w:start w:val="single" w:sz="6" w:space="0" w:color="000000"/>
              <w:bottom w:val="single" w:sz="6" w:space="0" w:color="000000"/>
              <w:end w:val="single" w:sz="6" w:space="0" w:color="000000"/>
            </w:tcBorders>
          </w:tcPr>
          <w:p>
            <w:pPr>
              <w:pStyle w:val="Normal"/>
              <w:spacing w:before="0" w:after="120"/>
              <w:jc w:val="center"/>
              <w:rPr/>
            </w:pPr>
            <w:r>
              <w:rPr/>
              <w:t>Over $10MM</w:t>
            </w:r>
          </w:p>
        </w:tc>
      </w:tr>
    </w:tbl>
    <w:p>
      <w:pPr>
        <w:pStyle w:val="Normal"/>
        <w:jc w:val="both"/>
        <w:rPr/>
      </w:pPr>
      <w:r>
        <w:rPr/>
      </w:r>
    </w:p>
    <w:p>
      <w:pPr>
        <w:pStyle w:val="Normal"/>
        <w:jc w:val="both"/>
        <w:rPr/>
      </w:pPr>
      <w:r>
        <w:rPr/>
        <w:t>In addition to the responsibility for establishing a credit limit for all credit counterparties, Credit is responsible for monitoring counterparty credit exposure in relation to the established credit limit.  Although a large percentage of EOTT’s counterparties are both sales and supply customers, credit exposure does not include the value of commodity purchased from a counterparty as an offset against the receivable/credit risk exposure resulting from deliveries/sales to that counterparty (i.e. credit exposure is calculated on a “gross basis”).  In establishing credit limit, credit exposure and related compliance, both quantitative and qualitative information provides input to Credit’s authorizations.  The Company’s risk appetite for the counterparty’s credit profile, anticipated volume of business with the counterparty and the counterparty’s size relative to the applicable industry impact the credit decisions.  Credit limits may be established for a counterparty based on the level and type of trading activities conducted.  These limits may be reflected as contractual thresholds or may be established for internal guidance purposes.   Credit is responsible for communication of established credit limits to appropriate commercial personnel and for documentation of credit limits in a counterparty credit files.</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b/>
          <w:i/>
          <w:i/>
        </w:rPr>
      </w:pPr>
      <w:r>
        <w:rPr>
          <w:b/>
          <w:i/>
        </w:rPr>
        <w:t>Term Limits</w:t>
      </w:r>
    </w:p>
    <w:p>
      <w:pPr>
        <w:pStyle w:val="BodyText2"/>
        <w:numPr>
          <w:ilvl w:val="0"/>
          <w:numId w:val="0"/>
        </w:numPr>
        <w:ind w:hanging="0" w:start="0"/>
        <w:jc w:val="both"/>
        <w:rPr>
          <w:b/>
          <w:i w:val="false"/>
          <w:i w:val="false"/>
          <w:sz w:val="20"/>
        </w:rPr>
      </w:pPr>
      <w:r>
        <w:rPr>
          <w:b/>
          <w:i w:val="false"/>
          <w:sz w:val="20"/>
        </w:rPr>
      </w:r>
    </w:p>
    <w:p>
      <w:pPr>
        <w:pStyle w:val="BodyText2"/>
        <w:numPr>
          <w:ilvl w:val="0"/>
          <w:numId w:val="0"/>
        </w:numPr>
        <w:ind w:hanging="0" w:start="0"/>
        <w:jc w:val="both"/>
        <w:rPr>
          <w:i w:val="false"/>
          <w:i w:val="false"/>
          <w:sz w:val="20"/>
        </w:rPr>
      </w:pPr>
      <w:r>
        <w:rPr>
          <w:i w:val="false"/>
          <w:sz w:val="20"/>
        </w:rPr>
        <w:t>In addition to establishing counterparty credit limits, Credit reviews the contract term (i.e., maximum term to maturity) for active counterparties.  Credit risk increases with maturity, primarily due to the greater probability of a counterparty default, higher volatility or change in market prices that leads to increased credit exposure, and larger volumes on average for longer-term deals.</w:t>
      </w:r>
    </w:p>
    <w:p>
      <w:pPr>
        <w:pStyle w:val="BodyText2"/>
        <w:jc w:val="both"/>
        <w:rPr>
          <w:i w:val="false"/>
          <w:i w:val="false"/>
          <w:sz w:val="20"/>
        </w:rPr>
      </w:pPr>
      <w:r>
        <w:rPr>
          <w:i w:val="false"/>
          <w:sz w:val="20"/>
        </w:rPr>
      </w:r>
    </w:p>
    <w:p>
      <w:pPr>
        <w:pStyle w:val="Normal"/>
        <w:jc w:val="both"/>
        <w:rPr/>
      </w:pPr>
      <w:r>
        <w:rPr/>
        <w:t>Contract term approval authority is outlined in the table set forth below. Due to the current infrequency of longer term contracts by EOTT, maturity limits are noted below largely as a guideline.</w:t>
      </w:r>
    </w:p>
    <w:p>
      <w:pPr>
        <w:pStyle w:val="BodyText2"/>
        <w:numPr>
          <w:ilvl w:val="0"/>
          <w:numId w:val="0"/>
        </w:numPr>
        <w:ind w:hanging="0" w:start="0"/>
        <w:jc w:val="both"/>
        <w:rPr>
          <w:i w:val="false"/>
          <w:i w:val="false"/>
          <w:sz w:val="20"/>
        </w:rPr>
      </w:pPr>
      <w:r>
        <w:rPr>
          <w:i w:val="false"/>
          <w:sz w:val="20"/>
        </w:rPr>
      </w:r>
    </w:p>
    <w:tbl>
      <w:tblPr>
        <w:tblW w:w="9270" w:type="dxa"/>
        <w:jc w:val="start"/>
        <w:tblInd w:w="738" w:type="dxa"/>
        <w:tblLayout w:type="fixed"/>
        <w:tblCellMar>
          <w:top w:w="0" w:type="dxa"/>
          <w:start w:w="108" w:type="dxa"/>
          <w:bottom w:w="0" w:type="dxa"/>
          <w:end w:w="108" w:type="dxa"/>
        </w:tblCellMar>
      </w:tblPr>
      <w:tblGrid>
        <w:gridCol w:w="3150"/>
        <w:gridCol w:w="1890"/>
        <w:gridCol w:w="2340"/>
        <w:gridCol w:w="1890"/>
      </w:tblGrid>
      <w:tr>
        <w:trPr/>
        <w:tc>
          <w:tcPr>
            <w:tcW w:w="3150" w:type="dxa"/>
            <w:tcBorders>
              <w:top w:val="single" w:sz="6" w:space="0" w:color="000000"/>
              <w:start w:val="single" w:sz="6" w:space="0" w:color="000000"/>
              <w:bottom w:val="single" w:sz="6" w:space="0" w:color="000000"/>
              <w:end w:val="single" w:sz="6" w:space="0" w:color="000000"/>
            </w:tcBorders>
          </w:tcPr>
          <w:p>
            <w:pPr>
              <w:pStyle w:val="Normal"/>
              <w:spacing w:before="0" w:after="120"/>
              <w:jc w:val="center"/>
              <w:rPr>
                <w:b/>
              </w:rPr>
            </w:pPr>
            <w:r>
              <w:rPr>
                <w:b/>
              </w:rPr>
              <w:t>Level</w:t>
            </w:r>
          </w:p>
        </w:tc>
        <w:tc>
          <w:tcPr>
            <w:tcW w:w="1890" w:type="dxa"/>
            <w:tcBorders>
              <w:top w:val="single" w:sz="6" w:space="0" w:color="000000"/>
              <w:start w:val="single" w:sz="6" w:space="0" w:color="000000"/>
              <w:bottom w:val="single" w:sz="6" w:space="0" w:color="000000"/>
              <w:end w:val="single" w:sz="6" w:space="0" w:color="000000"/>
            </w:tcBorders>
          </w:tcPr>
          <w:p>
            <w:pPr>
              <w:pStyle w:val="Normal"/>
              <w:spacing w:before="0" w:after="120"/>
              <w:jc w:val="center"/>
              <w:rPr>
                <w:b/>
              </w:rPr>
            </w:pPr>
            <w:r>
              <w:rPr>
                <w:b/>
              </w:rPr>
              <w:t>Investment Grade</w:t>
            </w:r>
          </w:p>
        </w:tc>
        <w:tc>
          <w:tcPr>
            <w:tcW w:w="2340" w:type="dxa"/>
            <w:tcBorders>
              <w:top w:val="single" w:sz="6" w:space="0" w:color="000000"/>
              <w:start w:val="single" w:sz="6" w:space="0" w:color="000000"/>
              <w:bottom w:val="single" w:sz="6" w:space="0" w:color="000000"/>
              <w:end w:val="single" w:sz="6" w:space="0" w:color="000000"/>
            </w:tcBorders>
          </w:tcPr>
          <w:p>
            <w:pPr>
              <w:pStyle w:val="Normal"/>
              <w:spacing w:before="0" w:after="120"/>
              <w:jc w:val="center"/>
              <w:rPr>
                <w:b/>
              </w:rPr>
            </w:pPr>
            <w:r>
              <w:rPr>
                <w:b/>
              </w:rPr>
              <w:t>Non-Investment Grade</w:t>
            </w:r>
          </w:p>
        </w:tc>
        <w:tc>
          <w:tcPr>
            <w:tcW w:w="1890" w:type="dxa"/>
            <w:tcBorders>
              <w:top w:val="single" w:sz="6" w:space="0" w:color="000000"/>
              <w:start w:val="single" w:sz="6" w:space="0" w:color="000000"/>
              <w:bottom w:val="single" w:sz="6" w:space="0" w:color="000000"/>
              <w:end w:val="single" w:sz="6" w:space="0" w:color="000000"/>
            </w:tcBorders>
          </w:tcPr>
          <w:p>
            <w:pPr>
              <w:pStyle w:val="Normal"/>
              <w:spacing w:before="0" w:after="120"/>
              <w:jc w:val="center"/>
              <w:rPr>
                <w:b/>
              </w:rPr>
            </w:pPr>
            <w:r>
              <w:rPr>
                <w:b/>
              </w:rPr>
              <w:t>Not Rated</w:t>
            </w:r>
          </w:p>
        </w:tc>
      </w:tr>
      <w:tr>
        <w:trPr/>
        <w:tc>
          <w:tcPr>
            <w:tcW w:w="3150" w:type="dxa"/>
            <w:tcBorders>
              <w:top w:val="single" w:sz="6" w:space="0" w:color="000000"/>
              <w:start w:val="single" w:sz="6" w:space="0" w:color="000000"/>
              <w:bottom w:val="single" w:sz="6" w:space="0" w:color="000000"/>
              <w:end w:val="single" w:sz="6" w:space="0" w:color="000000"/>
            </w:tcBorders>
          </w:tcPr>
          <w:p>
            <w:pPr>
              <w:pStyle w:val="Normal"/>
              <w:spacing w:before="0" w:after="120"/>
              <w:rPr/>
            </w:pPr>
            <w:r>
              <w:rPr/>
              <w:t xml:space="preserve">Credit Analyst/Rep </w:t>
            </w:r>
          </w:p>
        </w:tc>
        <w:tc>
          <w:tcPr>
            <w:tcW w:w="1890" w:type="dxa"/>
            <w:tcBorders>
              <w:top w:val="single" w:sz="6" w:space="0" w:color="000000"/>
              <w:start w:val="single" w:sz="6" w:space="0" w:color="000000"/>
              <w:bottom w:val="single" w:sz="6" w:space="0" w:color="000000"/>
              <w:end w:val="single" w:sz="6" w:space="0" w:color="000000"/>
            </w:tcBorders>
          </w:tcPr>
          <w:p>
            <w:pPr>
              <w:pStyle w:val="Normal"/>
              <w:spacing w:before="0" w:after="120"/>
              <w:jc w:val="center"/>
              <w:rPr/>
            </w:pPr>
            <w:r>
              <w:rPr/>
              <w:t>1 year</w:t>
            </w:r>
          </w:p>
        </w:tc>
        <w:tc>
          <w:tcPr>
            <w:tcW w:w="2340" w:type="dxa"/>
            <w:tcBorders>
              <w:top w:val="single" w:sz="6" w:space="0" w:color="000000"/>
              <w:start w:val="single" w:sz="6" w:space="0" w:color="000000"/>
              <w:bottom w:val="single" w:sz="6" w:space="0" w:color="000000"/>
              <w:end w:val="single" w:sz="6" w:space="0" w:color="000000"/>
            </w:tcBorders>
          </w:tcPr>
          <w:p>
            <w:pPr>
              <w:pStyle w:val="Normal"/>
              <w:spacing w:before="0" w:after="120"/>
              <w:jc w:val="center"/>
              <w:rPr/>
            </w:pPr>
            <w:r>
              <w:rPr/>
              <w:t>3 months</w:t>
            </w:r>
          </w:p>
        </w:tc>
        <w:tc>
          <w:tcPr>
            <w:tcW w:w="1890" w:type="dxa"/>
            <w:tcBorders>
              <w:top w:val="single" w:sz="6" w:space="0" w:color="000000"/>
              <w:start w:val="single" w:sz="6" w:space="0" w:color="000000"/>
              <w:bottom w:val="single" w:sz="6" w:space="0" w:color="000000"/>
              <w:end w:val="single" w:sz="6" w:space="0" w:color="000000"/>
            </w:tcBorders>
          </w:tcPr>
          <w:p>
            <w:pPr>
              <w:pStyle w:val="Normal"/>
              <w:spacing w:before="0" w:after="120"/>
              <w:jc w:val="center"/>
              <w:rPr/>
            </w:pPr>
            <w:r>
              <w:rPr/>
              <w:t>3 months</w:t>
            </w:r>
          </w:p>
        </w:tc>
      </w:tr>
      <w:tr>
        <w:trPr/>
        <w:tc>
          <w:tcPr>
            <w:tcW w:w="3150" w:type="dxa"/>
            <w:tcBorders>
              <w:top w:val="single" w:sz="6" w:space="0" w:color="000000"/>
              <w:start w:val="single" w:sz="6" w:space="0" w:color="000000"/>
              <w:bottom w:val="single" w:sz="6" w:space="0" w:color="000000"/>
              <w:end w:val="single" w:sz="6" w:space="0" w:color="000000"/>
            </w:tcBorders>
          </w:tcPr>
          <w:p>
            <w:pPr>
              <w:pStyle w:val="Normal"/>
              <w:spacing w:before="0" w:after="120"/>
              <w:rPr/>
            </w:pPr>
            <w:r>
              <w:rPr/>
              <w:t>Manager/Director</w:t>
            </w:r>
          </w:p>
        </w:tc>
        <w:tc>
          <w:tcPr>
            <w:tcW w:w="1890" w:type="dxa"/>
            <w:tcBorders>
              <w:top w:val="single" w:sz="6" w:space="0" w:color="000000"/>
              <w:start w:val="single" w:sz="6" w:space="0" w:color="000000"/>
              <w:bottom w:val="single" w:sz="6" w:space="0" w:color="000000"/>
              <w:end w:val="single" w:sz="6" w:space="0" w:color="000000"/>
            </w:tcBorders>
          </w:tcPr>
          <w:p>
            <w:pPr>
              <w:pStyle w:val="Normal"/>
              <w:spacing w:before="0" w:after="120"/>
              <w:jc w:val="center"/>
              <w:rPr/>
            </w:pPr>
            <w:r>
              <w:rPr/>
              <w:t>1 year</w:t>
            </w:r>
          </w:p>
        </w:tc>
        <w:tc>
          <w:tcPr>
            <w:tcW w:w="2340" w:type="dxa"/>
            <w:tcBorders>
              <w:top w:val="single" w:sz="6" w:space="0" w:color="000000"/>
              <w:start w:val="single" w:sz="6" w:space="0" w:color="000000"/>
              <w:bottom w:val="single" w:sz="6" w:space="0" w:color="000000"/>
              <w:end w:val="single" w:sz="6" w:space="0" w:color="000000"/>
            </w:tcBorders>
          </w:tcPr>
          <w:p>
            <w:pPr>
              <w:pStyle w:val="Normal"/>
              <w:spacing w:before="0" w:after="120"/>
              <w:jc w:val="center"/>
              <w:rPr/>
            </w:pPr>
            <w:r>
              <w:rPr/>
              <w:t>6 months</w:t>
            </w:r>
          </w:p>
        </w:tc>
        <w:tc>
          <w:tcPr>
            <w:tcW w:w="1890" w:type="dxa"/>
            <w:tcBorders>
              <w:top w:val="single" w:sz="6" w:space="0" w:color="000000"/>
              <w:start w:val="single" w:sz="6" w:space="0" w:color="000000"/>
              <w:bottom w:val="single" w:sz="6" w:space="0" w:color="000000"/>
              <w:end w:val="single" w:sz="6" w:space="0" w:color="000000"/>
            </w:tcBorders>
          </w:tcPr>
          <w:p>
            <w:pPr>
              <w:pStyle w:val="Normal"/>
              <w:spacing w:before="0" w:after="120"/>
              <w:jc w:val="center"/>
              <w:rPr/>
            </w:pPr>
            <w:r>
              <w:rPr/>
              <w:t>6 months</w:t>
            </w:r>
          </w:p>
        </w:tc>
      </w:tr>
      <w:tr>
        <w:trPr/>
        <w:tc>
          <w:tcPr>
            <w:tcW w:w="3150" w:type="dxa"/>
            <w:tcBorders>
              <w:top w:val="single" w:sz="6" w:space="0" w:color="000000"/>
              <w:start w:val="single" w:sz="6" w:space="0" w:color="000000"/>
              <w:bottom w:val="single" w:sz="6" w:space="0" w:color="000000"/>
              <w:end w:val="single" w:sz="6" w:space="0" w:color="000000"/>
            </w:tcBorders>
          </w:tcPr>
          <w:p>
            <w:pPr>
              <w:pStyle w:val="Normal"/>
              <w:spacing w:before="0" w:after="120"/>
              <w:rPr/>
            </w:pPr>
            <w:r>
              <w:rPr/>
              <w:t>Treasurer</w:t>
            </w:r>
          </w:p>
        </w:tc>
        <w:tc>
          <w:tcPr>
            <w:tcW w:w="1890" w:type="dxa"/>
            <w:tcBorders>
              <w:top w:val="single" w:sz="6" w:space="0" w:color="000000"/>
              <w:start w:val="single" w:sz="6" w:space="0" w:color="000000"/>
              <w:bottom w:val="single" w:sz="6" w:space="0" w:color="000000"/>
              <w:end w:val="single" w:sz="6" w:space="0" w:color="000000"/>
            </w:tcBorders>
          </w:tcPr>
          <w:p>
            <w:pPr>
              <w:pStyle w:val="Normal"/>
              <w:spacing w:before="0" w:after="120"/>
              <w:jc w:val="center"/>
              <w:rPr/>
            </w:pPr>
            <w:r>
              <w:rPr/>
              <w:t>2 years</w:t>
            </w:r>
          </w:p>
        </w:tc>
        <w:tc>
          <w:tcPr>
            <w:tcW w:w="2340" w:type="dxa"/>
            <w:tcBorders>
              <w:top w:val="single" w:sz="6" w:space="0" w:color="000000"/>
              <w:start w:val="single" w:sz="6" w:space="0" w:color="000000"/>
              <w:bottom w:val="single" w:sz="6" w:space="0" w:color="000000"/>
              <w:end w:val="single" w:sz="6" w:space="0" w:color="000000"/>
            </w:tcBorders>
          </w:tcPr>
          <w:p>
            <w:pPr>
              <w:pStyle w:val="Normal"/>
              <w:spacing w:before="0" w:after="120"/>
              <w:jc w:val="center"/>
              <w:rPr/>
            </w:pPr>
            <w:r>
              <w:rPr/>
              <w:t>1 years</w:t>
            </w:r>
          </w:p>
        </w:tc>
        <w:tc>
          <w:tcPr>
            <w:tcW w:w="1890" w:type="dxa"/>
            <w:tcBorders>
              <w:top w:val="single" w:sz="6" w:space="0" w:color="000000"/>
              <w:start w:val="single" w:sz="6" w:space="0" w:color="000000"/>
              <w:bottom w:val="single" w:sz="6" w:space="0" w:color="000000"/>
              <w:end w:val="single" w:sz="6" w:space="0" w:color="000000"/>
            </w:tcBorders>
          </w:tcPr>
          <w:p>
            <w:pPr>
              <w:pStyle w:val="Normal"/>
              <w:spacing w:before="0" w:after="120"/>
              <w:jc w:val="center"/>
              <w:rPr/>
            </w:pPr>
            <w:r>
              <w:rPr/>
              <w:t>1 years</w:t>
            </w:r>
          </w:p>
        </w:tc>
      </w:tr>
      <w:tr>
        <w:trPr/>
        <w:tc>
          <w:tcPr>
            <w:tcW w:w="3150" w:type="dxa"/>
            <w:tcBorders>
              <w:top w:val="single" w:sz="6" w:space="0" w:color="000000"/>
              <w:start w:val="single" w:sz="6" w:space="0" w:color="000000"/>
              <w:bottom w:val="single" w:sz="6" w:space="0" w:color="000000"/>
              <w:end w:val="single" w:sz="6" w:space="0" w:color="000000"/>
            </w:tcBorders>
          </w:tcPr>
          <w:p>
            <w:pPr>
              <w:pStyle w:val="Normal"/>
              <w:spacing w:before="0" w:after="120"/>
              <w:rPr/>
            </w:pPr>
            <w:r>
              <w:rPr/>
              <w:t>CFO/President</w:t>
            </w:r>
          </w:p>
        </w:tc>
        <w:tc>
          <w:tcPr>
            <w:tcW w:w="1890" w:type="dxa"/>
            <w:tcBorders>
              <w:top w:val="single" w:sz="6" w:space="0" w:color="000000"/>
              <w:start w:val="single" w:sz="6" w:space="0" w:color="000000"/>
              <w:bottom w:val="single" w:sz="6" w:space="0" w:color="000000"/>
              <w:end w:val="single" w:sz="6" w:space="0" w:color="000000"/>
            </w:tcBorders>
          </w:tcPr>
          <w:p>
            <w:pPr>
              <w:pStyle w:val="Normal"/>
              <w:spacing w:before="0" w:after="120"/>
              <w:jc w:val="center"/>
              <w:rPr/>
            </w:pPr>
            <w:r>
              <w:rPr/>
              <w:t>5 years</w:t>
            </w:r>
          </w:p>
        </w:tc>
        <w:tc>
          <w:tcPr>
            <w:tcW w:w="2340" w:type="dxa"/>
            <w:tcBorders>
              <w:top w:val="single" w:sz="6" w:space="0" w:color="000000"/>
              <w:start w:val="single" w:sz="6" w:space="0" w:color="000000"/>
              <w:bottom w:val="single" w:sz="6" w:space="0" w:color="000000"/>
              <w:end w:val="single" w:sz="6" w:space="0" w:color="000000"/>
            </w:tcBorders>
          </w:tcPr>
          <w:p>
            <w:pPr>
              <w:pStyle w:val="Normal"/>
              <w:spacing w:before="0" w:after="120"/>
              <w:jc w:val="center"/>
              <w:rPr/>
            </w:pPr>
            <w:r>
              <w:rPr/>
              <w:t>2 years</w:t>
            </w:r>
          </w:p>
        </w:tc>
        <w:tc>
          <w:tcPr>
            <w:tcW w:w="1890" w:type="dxa"/>
            <w:tcBorders>
              <w:top w:val="single" w:sz="6" w:space="0" w:color="000000"/>
              <w:start w:val="single" w:sz="6" w:space="0" w:color="000000"/>
              <w:bottom w:val="single" w:sz="6" w:space="0" w:color="000000"/>
              <w:end w:val="single" w:sz="6" w:space="0" w:color="000000"/>
            </w:tcBorders>
          </w:tcPr>
          <w:p>
            <w:pPr>
              <w:pStyle w:val="Normal"/>
              <w:spacing w:before="0" w:after="120"/>
              <w:jc w:val="center"/>
              <w:rPr/>
            </w:pPr>
            <w:r>
              <w:rPr/>
              <w:t>2 years</w:t>
            </w:r>
          </w:p>
        </w:tc>
      </w:tr>
      <w:tr>
        <w:trPr/>
        <w:tc>
          <w:tcPr>
            <w:tcW w:w="3150" w:type="dxa"/>
            <w:tcBorders>
              <w:top w:val="single" w:sz="6" w:space="0" w:color="000000"/>
              <w:start w:val="single" w:sz="6" w:space="0" w:color="000000"/>
              <w:bottom w:val="single" w:sz="6" w:space="0" w:color="000000"/>
              <w:end w:val="single" w:sz="6" w:space="0" w:color="000000"/>
            </w:tcBorders>
          </w:tcPr>
          <w:p>
            <w:pPr>
              <w:pStyle w:val="Normal"/>
              <w:spacing w:before="0" w:after="120"/>
              <w:rPr/>
            </w:pPr>
            <w:r>
              <w:rPr/>
              <w:t>Office of the Chairman</w:t>
            </w:r>
          </w:p>
        </w:tc>
        <w:tc>
          <w:tcPr>
            <w:tcW w:w="1890" w:type="dxa"/>
            <w:tcBorders>
              <w:top w:val="single" w:sz="6" w:space="0" w:color="000000"/>
              <w:start w:val="single" w:sz="6" w:space="0" w:color="000000"/>
              <w:bottom w:val="single" w:sz="6" w:space="0" w:color="000000"/>
              <w:end w:val="single" w:sz="6" w:space="0" w:color="000000"/>
            </w:tcBorders>
          </w:tcPr>
          <w:p>
            <w:pPr>
              <w:pStyle w:val="Normal"/>
              <w:spacing w:before="0" w:after="120"/>
              <w:jc w:val="center"/>
              <w:rPr/>
            </w:pPr>
            <w:r>
              <w:rPr/>
              <w:t>Over 5 years</w:t>
            </w:r>
          </w:p>
        </w:tc>
        <w:tc>
          <w:tcPr>
            <w:tcW w:w="2340" w:type="dxa"/>
            <w:tcBorders>
              <w:top w:val="single" w:sz="6" w:space="0" w:color="000000"/>
              <w:start w:val="single" w:sz="6" w:space="0" w:color="000000"/>
              <w:bottom w:val="single" w:sz="6" w:space="0" w:color="000000"/>
              <w:end w:val="single" w:sz="6" w:space="0" w:color="000000"/>
            </w:tcBorders>
          </w:tcPr>
          <w:p>
            <w:pPr>
              <w:pStyle w:val="Normal"/>
              <w:spacing w:before="0" w:after="120"/>
              <w:jc w:val="center"/>
              <w:rPr/>
            </w:pPr>
            <w:r>
              <w:rPr/>
              <w:t>Over 2 years</w:t>
            </w:r>
          </w:p>
        </w:tc>
        <w:tc>
          <w:tcPr>
            <w:tcW w:w="1890" w:type="dxa"/>
            <w:tcBorders>
              <w:top w:val="single" w:sz="6" w:space="0" w:color="000000"/>
              <w:start w:val="single" w:sz="6" w:space="0" w:color="000000"/>
              <w:bottom w:val="single" w:sz="6" w:space="0" w:color="000000"/>
              <w:end w:val="single" w:sz="6" w:space="0" w:color="000000"/>
            </w:tcBorders>
          </w:tcPr>
          <w:p>
            <w:pPr>
              <w:pStyle w:val="Normal"/>
              <w:spacing w:before="0" w:after="120"/>
              <w:jc w:val="center"/>
              <w:rPr/>
            </w:pPr>
            <w:r>
              <w:rPr/>
              <w:t>Over 2 years</w:t>
            </w:r>
          </w:p>
        </w:tc>
      </w:tr>
    </w:tbl>
    <w:p>
      <w:pPr>
        <w:pStyle w:val="BodyText2"/>
        <w:numPr>
          <w:ilvl w:val="0"/>
          <w:numId w:val="0"/>
        </w:numPr>
        <w:ind w:hanging="0" w:start="0"/>
        <w:jc w:val="both"/>
        <w:rPr>
          <w:i w:val="false"/>
          <w:i w:val="false"/>
          <w:sz w:val="20"/>
        </w:rPr>
      </w:pPr>
      <w:r>
        <w:rPr>
          <w:i w:val="false"/>
          <w:sz w:val="20"/>
        </w:rPr>
      </w:r>
    </w:p>
    <w:p>
      <w:pPr>
        <w:pStyle w:val="Normal"/>
        <w:jc w:val="both"/>
        <w:rPr>
          <w:b/>
          <w:i/>
          <w:i/>
        </w:rPr>
      </w:pPr>
      <w:r>
        <w:rPr>
          <w:b/>
          <w:i/>
        </w:rPr>
        <w:t>Credit Limit Reassessment</w:t>
      </w:r>
    </w:p>
    <w:p>
      <w:pPr>
        <w:pStyle w:val="Footer"/>
        <w:tabs>
          <w:tab w:val="clear" w:pos="4320"/>
          <w:tab w:val="clear" w:pos="8640"/>
        </w:tabs>
        <w:jc w:val="both"/>
        <w:rPr>
          <w:b/>
          <w:i/>
          <w:i/>
        </w:rPr>
      </w:pPr>
      <w:r>
        <w:rPr>
          <w:b/>
          <w:i/>
        </w:rPr>
      </w:r>
    </w:p>
    <w:p>
      <w:pPr>
        <w:pStyle w:val="Normal"/>
        <w:jc w:val="both"/>
        <w:rPr/>
      </w:pPr>
      <w:r>
        <w:rPr/>
        <w:t>Subsequent to the initial counterparty creditworthiness and credit limit assessment, Credit personnel are responsible for monitoring any changes in the counterparty’s financial condition or qualitative factors that would affect the initial assessment.  The timing of the review cycle is a function of the credit quality and activity of the counterparty and credit history with the Company.  Reassessment is therefore a matter of Credit discretion.  However, at a minimum, counterparties with exposure over $5 million should be reassessed semi-annually.  In addition, non-investment grade clients should be reassessed annually while investment grade clients should be reassessed bi-annually for all active clients.  Approval authority for credit limit reassessments is the same as noted for the original credit limits.</w:t>
      </w:r>
    </w:p>
    <w:p>
      <w:pPr>
        <w:pStyle w:val="Normal"/>
        <w:jc w:val="both"/>
        <w:rPr/>
      </w:pPr>
      <w:r>
        <w:rPr/>
      </w:r>
    </w:p>
    <w:p>
      <w:pPr>
        <w:pStyle w:val="BodyText"/>
        <w:rPr/>
      </w:pPr>
      <w:r>
        <w:rPr/>
        <w:t>The Treasurer/V.P. of Credit, the CFO or the authorized designee must approve exceptions to any of the above counterparty approval procedures.</w:t>
      </w:r>
    </w:p>
    <w:p>
      <w:pPr>
        <w:pStyle w:val="Normal"/>
        <w:numPr>
          <w:ilvl w:val="0"/>
          <w:numId w:val="0"/>
        </w:numPr>
        <w:ind w:hanging="0" w:start="0"/>
        <w:jc w:val="both"/>
        <w:rPr/>
      </w:pPr>
      <w:r>
        <w:rPr/>
      </w:r>
    </w:p>
    <w:p>
      <w:pPr>
        <w:pStyle w:val="Heading7"/>
        <w:ind w:hanging="0" w:start="0"/>
        <w:rPr/>
      </w:pPr>
      <w:r>
        <w:rPr>
          <w:i w:val="false"/>
          <w:smallCaps/>
          <w:u w:val="single"/>
        </w:rPr>
        <w:t>B.</w:t>
      </w:r>
      <w:r>
        <w:rPr>
          <w:i w:val="false"/>
          <w:u w:val="single"/>
        </w:rPr>
        <w:t xml:space="preserve"> Transaction Approval Process</w:t>
      </w:r>
    </w:p>
    <w:p>
      <w:pPr>
        <w:pStyle w:val="BodyText2"/>
        <w:numPr>
          <w:ilvl w:val="0"/>
          <w:numId w:val="0"/>
        </w:numPr>
        <w:ind w:hanging="0" w:start="0"/>
        <w:jc w:val="both"/>
        <w:rPr>
          <w:i w:val="false"/>
          <w:i w:val="false"/>
          <w:sz w:val="20"/>
          <w:u w:val="single"/>
        </w:rPr>
      </w:pPr>
      <w:r>
        <w:rPr>
          <w:i w:val="false"/>
          <w:sz w:val="20"/>
          <w:u w:val="single"/>
        </w:rPr>
      </w:r>
    </w:p>
    <w:p>
      <w:pPr>
        <w:pStyle w:val="Normal"/>
        <w:rPr/>
      </w:pPr>
      <w:r>
        <w:rPr/>
        <w:t xml:space="preserve">Credit reviews newly executed transactions to monitor potential credit risk and compliance with this Policy.  </w:t>
      </w:r>
      <w:r>
        <w:rPr>
          <w:lang w:eastAsia="en-US"/>
        </w:rPr>
        <w:t>Standard transactions generally include those documented on approved confirmations, valued in core systems and established in business units within the Company.  Credit</w:t>
      </w:r>
      <w:r>
        <w:rPr/>
        <w:t xml:space="preserve"> approves the execution of standard transactions directly with commercial personnel.</w:t>
      </w:r>
    </w:p>
    <w:p>
      <w:pPr>
        <w:pStyle w:val="Normal"/>
        <w:rPr>
          <w:lang w:eastAsia="en-US"/>
        </w:rPr>
      </w:pPr>
      <w:r>
        <w:rPr>
          <w:lang w:eastAsia="en-US"/>
        </w:rPr>
      </w:r>
    </w:p>
    <w:p>
      <w:pPr>
        <w:pStyle w:val="BodyText3"/>
        <w:numPr>
          <w:ilvl w:val="0"/>
          <w:numId w:val="0"/>
        </w:numPr>
        <w:spacing w:before="0" w:after="60"/>
        <w:ind w:hanging="0" w:start="0"/>
        <w:rPr/>
      </w:pPr>
      <w:r>
        <w:rPr>
          <w:sz w:val="20"/>
          <w:lang w:eastAsia="en-US"/>
        </w:rPr>
        <w:t xml:space="preserve">For all deals executed, commercial personnel are responsible for (1) obtaining approval from Credit </w:t>
      </w:r>
      <w:r>
        <w:rPr>
          <w:sz w:val="20"/>
          <w:u w:val="single"/>
          <w:lang w:eastAsia="en-US"/>
        </w:rPr>
        <w:t>prior</w:t>
      </w:r>
      <w:r>
        <w:rPr>
          <w:sz w:val="20"/>
          <w:lang w:eastAsia="en-US"/>
        </w:rPr>
        <w:t xml:space="preserve"> to executing transactions that expose the Company to credit risk and (2) understanding the current credit terms for executing transactions with a counterparty.  The transaction approval process may vary by business unit depending on the quality of counterparties as well as the liquidity and volatility of products.  In some circumstances, Credit may </w:t>
      </w:r>
      <w:r>
        <w:rPr>
          <w:sz w:val="20"/>
        </w:rPr>
        <w:t xml:space="preserve">maintain watch lists to highlight counterparties that require approval prior to trade execution as well as to specify counterparties in which deals may not be executed.  Credit will make the reports available on EOTT’s Web site and in hardcopy format.  If a counterparty is referenced on a watch list or has not transacted with the Company for six months, then </w:t>
      </w:r>
      <w:r>
        <w:rPr>
          <w:sz w:val="20"/>
          <w:u w:val="single"/>
        </w:rPr>
        <w:t>commercial personnel must contact Credit for specific transaction approval prior to trade execution</w:t>
      </w:r>
      <w:r>
        <w:rPr>
          <w:sz w:val="20"/>
        </w:rPr>
        <w:t>.  Generally, counterparties are listed on the reports due to the following scenarios:</w:t>
      </w:r>
    </w:p>
    <w:p>
      <w:pPr>
        <w:pStyle w:val="Normal"/>
        <w:rPr>
          <w:sz w:val="8"/>
        </w:rPr>
      </w:pPr>
      <w:r>
        <w:rPr>
          <w:sz w:val="8"/>
        </w:rPr>
      </w:r>
    </w:p>
    <w:p>
      <w:pPr>
        <w:pStyle w:val="Normal"/>
        <w:numPr>
          <w:ilvl w:val="0"/>
          <w:numId w:val="10"/>
        </w:numPr>
        <w:jc w:val="both"/>
        <w:rPr/>
      </w:pPr>
      <w:r>
        <w:rPr/>
        <w:t>credit exposure is near or in excess of the counterparty’s credit limits;</w:t>
      </w:r>
    </w:p>
    <w:p>
      <w:pPr>
        <w:pStyle w:val="Normal"/>
        <w:numPr>
          <w:ilvl w:val="0"/>
          <w:numId w:val="10"/>
        </w:numPr>
        <w:jc w:val="both"/>
        <w:rPr/>
      </w:pPr>
      <w:r>
        <w:rPr/>
        <w:t>counterparty is subject to credit enhancement requirements; and/or</w:t>
      </w:r>
    </w:p>
    <w:p>
      <w:pPr>
        <w:pStyle w:val="Normal"/>
        <w:numPr>
          <w:ilvl w:val="0"/>
          <w:numId w:val="10"/>
        </w:numPr>
        <w:jc w:val="both"/>
        <w:rPr/>
      </w:pPr>
      <w:r>
        <w:rPr/>
        <w:t>counterparty is not creditworthy to transact without Credit’s direct involvement and evaluation.</w:t>
      </w:r>
    </w:p>
    <w:p>
      <w:pPr>
        <w:pStyle w:val="BodyText3"/>
        <w:numPr>
          <w:ilvl w:val="0"/>
          <w:numId w:val="0"/>
        </w:numPr>
        <w:spacing w:before="0" w:after="60"/>
        <w:ind w:hanging="0" w:start="720" w:end="0"/>
        <w:rPr>
          <w:sz w:val="8"/>
        </w:rPr>
      </w:pPr>
      <w:r>
        <w:rPr>
          <w:sz w:val="8"/>
        </w:rPr>
      </w:r>
    </w:p>
    <w:p>
      <w:pPr>
        <w:pStyle w:val="BodyText3"/>
        <w:numPr>
          <w:ilvl w:val="0"/>
          <w:numId w:val="0"/>
        </w:numPr>
        <w:spacing w:before="0" w:after="60"/>
        <w:ind w:hanging="0" w:start="0"/>
        <w:rPr>
          <w:sz w:val="20"/>
        </w:rPr>
      </w:pPr>
      <w:r>
        <w:rPr>
          <w:sz w:val="20"/>
        </w:rPr>
        <w:t>Upon receiving a request to approve a standard transaction, Credit should evaluate the incremental credit exposure of the proposed deal to determine if the risk will be within the established credit limits.  If the aggregated exposure is within credit limits, the transaction may be approved accordingly.  Credit will also consider offsetting positions when determining credit risk involved with the proposed transaction.  When a transaction requires credit enhancement, commercial personnel or Credit should disclose the requirements to the counterparty prior to executing the transaction.</w:t>
      </w:r>
    </w:p>
    <w:p>
      <w:pPr>
        <w:pStyle w:val="Normal"/>
        <w:jc w:val="both"/>
        <w:rPr>
          <w:sz w:val="20"/>
        </w:rPr>
      </w:pPr>
      <w:r>
        <w:rPr>
          <w:sz w:val="20"/>
        </w:rPr>
      </w:r>
    </w:p>
    <w:p>
      <w:pPr>
        <w:pStyle w:val="Normal"/>
        <w:rPr>
          <w:u w:val="single"/>
        </w:rPr>
      </w:pPr>
      <w:r>
        <w:rPr>
          <w:u w:val="single"/>
        </w:rPr>
      </w:r>
    </w:p>
    <w:p>
      <w:pPr>
        <w:pStyle w:val="Normal"/>
        <w:rPr>
          <w:u w:val="single"/>
        </w:rPr>
      </w:pPr>
      <w:r>
        <w:rPr>
          <w:u w:val="single"/>
        </w:rPr>
      </w:r>
    </w:p>
    <w:p>
      <w:pPr>
        <w:pStyle w:val="Normal"/>
        <w:rPr/>
      </w:pPr>
      <w:r>
        <w:rPr/>
      </w:r>
    </w:p>
    <w:p>
      <w:pPr>
        <w:pStyle w:val="Heading2"/>
        <w:numPr>
          <w:ilvl w:val="0"/>
          <w:numId w:val="0"/>
        </w:numPr>
        <w:tabs>
          <w:tab w:val="clear" w:pos="720"/>
          <w:tab w:val="left" w:pos="7920" w:leader="none"/>
        </w:tabs>
        <w:ind w:hanging="360" w:start="360" w:end="0"/>
        <w:rPr>
          <w:smallCaps/>
        </w:rPr>
      </w:pPr>
      <w:r>
        <w:rPr>
          <w:smallCaps/>
        </w:rPr>
        <w:t>C.</w:t>
        <w:tab/>
        <w:t>Credit Enhancements</w:t>
      </w:r>
    </w:p>
    <w:p>
      <w:pPr>
        <w:pStyle w:val="Normal"/>
        <w:ind w:start="720" w:end="0"/>
        <w:jc w:val="both"/>
        <w:rPr>
          <w:smallCaps/>
          <w:sz w:val="8"/>
        </w:rPr>
      </w:pPr>
      <w:r>
        <w:rPr>
          <w:smallCaps/>
          <w:sz w:val="8"/>
        </w:rPr>
      </w:r>
    </w:p>
    <w:p>
      <w:pPr>
        <w:pStyle w:val="BodyText3"/>
        <w:spacing w:before="0" w:after="0"/>
        <w:rPr>
          <w:sz w:val="20"/>
        </w:rPr>
      </w:pPr>
      <w:r>
        <w:rPr>
          <w:sz w:val="20"/>
        </w:rPr>
        <w:t>To effectively manage credit risk and to protect the Company in the event of counterparty defaults, Credit may attempt to reduce or mitigate counterparty exposure by:</w:t>
      </w:r>
    </w:p>
    <w:p>
      <w:pPr>
        <w:pStyle w:val="BodyText3"/>
        <w:spacing w:before="0" w:after="0"/>
        <w:rPr>
          <w:sz w:val="8"/>
        </w:rPr>
      </w:pPr>
      <w:r>
        <w:rPr>
          <w:sz w:val="8"/>
        </w:rPr>
      </w:r>
    </w:p>
    <w:p>
      <w:pPr>
        <w:pStyle w:val="Normal"/>
        <w:numPr>
          <w:ilvl w:val="0"/>
          <w:numId w:val="3"/>
        </w:numPr>
        <w:jc w:val="both"/>
        <w:rPr/>
      </w:pPr>
      <w:r>
        <w:rPr/>
        <w:t>collecting collateral in the form of cash, letters of credit (L/Cs) and cash equivalents,</w:t>
      </w:r>
    </w:p>
    <w:p>
      <w:pPr>
        <w:pStyle w:val="Normal"/>
        <w:numPr>
          <w:ilvl w:val="0"/>
          <w:numId w:val="3"/>
        </w:numPr>
        <w:jc w:val="both"/>
        <w:rPr/>
      </w:pPr>
      <w:r>
        <w:rPr/>
        <w:t>enhancing the credit risk through a bank guaranty, and</w:t>
      </w:r>
    </w:p>
    <w:p>
      <w:pPr>
        <w:pStyle w:val="Normal"/>
        <w:numPr>
          <w:ilvl w:val="0"/>
          <w:numId w:val="3"/>
        </w:numPr>
        <w:jc w:val="both"/>
        <w:rPr/>
      </w:pPr>
      <w:r>
        <w:rPr/>
        <w:t>accepting any other security as negotiated and agreed with a counterparty.</w:t>
      </w:r>
    </w:p>
    <w:p>
      <w:pPr>
        <w:pStyle w:val="Normal"/>
        <w:jc w:val="both"/>
        <w:rPr>
          <w:sz w:val="8"/>
        </w:rPr>
      </w:pPr>
      <w:r>
        <w:rPr>
          <w:sz w:val="8"/>
        </w:rPr>
      </w:r>
    </w:p>
    <w:p>
      <w:pPr>
        <w:pStyle w:val="Normal"/>
        <w:jc w:val="both"/>
        <w:rPr/>
      </w:pPr>
      <w:r>
        <w:rPr/>
        <w:t>Credit performs due diligence on issuers of L/Cs and guaranties to ensure they meet minimum credit standards.  Approval authority for incoming L/Cs and guaranties are as noted for approval of credit limits.  The Legal department should approve guaranty formats and language.</w:t>
      </w:r>
    </w:p>
    <w:p>
      <w:pPr>
        <w:pStyle w:val="Normal"/>
        <w:jc w:val="both"/>
        <w:rPr>
          <w:sz w:val="8"/>
        </w:rPr>
      </w:pPr>
      <w:r>
        <w:rPr>
          <w:sz w:val="8"/>
        </w:rPr>
      </w:r>
    </w:p>
    <w:p>
      <w:pPr>
        <w:pStyle w:val="Normal"/>
        <w:jc w:val="both"/>
        <w:rPr>
          <w:sz w:val="8"/>
          <w:lang w:eastAsia="en-US"/>
        </w:rPr>
      </w:pPr>
      <w:r>
        <w:rPr>
          <w:sz w:val="8"/>
          <w:lang w:eastAsia="en-US"/>
        </w:rPr>
      </w:r>
    </w:p>
    <w:p>
      <w:pPr>
        <w:pStyle w:val="Heading2"/>
        <w:numPr>
          <w:ilvl w:val="0"/>
          <w:numId w:val="0"/>
        </w:numPr>
        <w:ind w:hanging="360" w:start="360" w:end="0"/>
        <w:rPr>
          <w:smallCaps/>
        </w:rPr>
      </w:pPr>
      <w:r>
        <w:rPr>
          <w:smallCaps/>
        </w:rPr>
        <w:t>D.</w:t>
        <w:tab/>
        <w:t>Documentation Approval</w:t>
      </w:r>
    </w:p>
    <w:p>
      <w:pPr>
        <w:pStyle w:val="Normal"/>
        <w:ind w:start="720" w:end="0"/>
        <w:jc w:val="both"/>
        <w:rPr>
          <w:smallCaps/>
          <w:sz w:val="8"/>
        </w:rPr>
      </w:pPr>
      <w:r>
        <w:rPr>
          <w:smallCaps/>
          <w:sz w:val="8"/>
        </w:rPr>
      </w:r>
    </w:p>
    <w:p>
      <w:pPr>
        <w:pStyle w:val="Normal"/>
        <w:jc w:val="both"/>
        <w:rPr/>
      </w:pPr>
      <w:r>
        <w:rPr/>
        <w:t>Various forms of agreements such as master contracts or confirmations are used to support counterparty relationships and specific transactions.  In order to limit the Company’s credit risk exposure, Credit recommends and establishes the necessary provisions within the documents governing the applicable transaction(s).  As a result, Credit actively participates in the negotiation of credit related provisions in various agreements.</w:t>
      </w:r>
    </w:p>
    <w:p>
      <w:pPr>
        <w:pStyle w:val="Normal"/>
        <w:jc w:val="both"/>
        <w:rPr/>
      </w:pPr>
      <w:r>
        <w:rPr/>
      </w:r>
    </w:p>
    <w:p>
      <w:pPr>
        <w:pStyle w:val="BodyText3"/>
        <w:spacing w:before="0" w:after="0"/>
        <w:rPr>
          <w:sz w:val="20"/>
        </w:rPr>
      </w:pPr>
      <w:r>
        <w:rPr>
          <w:sz w:val="20"/>
        </w:rPr>
        <w:t>Agreements such as master firm purchase/sale agreements, ISDA master agreements and other contract masters may contain credit provisions authorized by Credit as well as allow for netting provisions and perfection of collateral security interests.  Some of the major provisions negotiated are as follows:</w:t>
      </w:r>
    </w:p>
    <w:p>
      <w:pPr>
        <w:pStyle w:val="Normal"/>
        <w:rPr>
          <w:sz w:val="20"/>
        </w:rPr>
      </w:pPr>
      <w:r>
        <w:rPr>
          <w:sz w:val="20"/>
        </w:rPr>
      </w:r>
    </w:p>
    <w:p>
      <w:pPr>
        <w:pStyle w:val="Normal"/>
        <w:numPr>
          <w:ilvl w:val="0"/>
          <w:numId w:val="8"/>
        </w:numPr>
        <w:tabs>
          <w:tab w:val="left" w:pos="720" w:leader="none"/>
        </w:tabs>
        <w:ind w:hanging="360" w:start="720" w:end="0"/>
        <w:rPr/>
      </w:pPr>
      <w:r>
        <w:rPr/>
        <w:t>material adverse change (“MAC”) clause,</w:t>
      </w:r>
    </w:p>
    <w:p>
      <w:pPr>
        <w:pStyle w:val="Normal"/>
        <w:numPr>
          <w:ilvl w:val="0"/>
          <w:numId w:val="8"/>
        </w:numPr>
        <w:tabs>
          <w:tab w:val="left" w:pos="720" w:leader="none"/>
        </w:tabs>
        <w:ind w:hanging="360" w:start="720" w:end="0"/>
        <w:rPr/>
      </w:pPr>
      <w:r>
        <w:rPr/>
        <w:t>cross default,</w:t>
      </w:r>
    </w:p>
    <w:p>
      <w:pPr>
        <w:pStyle w:val="Normal"/>
        <w:numPr>
          <w:ilvl w:val="0"/>
          <w:numId w:val="8"/>
        </w:numPr>
        <w:tabs>
          <w:tab w:val="left" w:pos="720" w:leader="none"/>
        </w:tabs>
        <w:ind w:hanging="360" w:start="720" w:end="0"/>
        <w:rPr/>
      </w:pPr>
      <w:r>
        <w:rPr/>
        <w:t>set-off rights, and</w:t>
      </w:r>
    </w:p>
    <w:p>
      <w:pPr>
        <w:pStyle w:val="Normal"/>
        <w:numPr>
          <w:ilvl w:val="0"/>
          <w:numId w:val="8"/>
        </w:numPr>
        <w:tabs>
          <w:tab w:val="left" w:pos="720" w:leader="none"/>
        </w:tabs>
        <w:ind w:hanging="360" w:start="720" w:end="0"/>
        <w:rPr/>
      </w:pPr>
      <w:r>
        <w:rPr/>
        <w:t>exposure threshold(s).</w:t>
      </w:r>
    </w:p>
    <w:p>
      <w:pPr>
        <w:pStyle w:val="Normal"/>
        <w:jc w:val="both"/>
        <w:rPr/>
      </w:pPr>
      <w:r>
        <w:rPr/>
      </w:r>
    </w:p>
    <w:p>
      <w:pPr>
        <w:pStyle w:val="BodyTextIndent"/>
        <w:ind w:start="0" w:end="0"/>
        <w:rPr/>
      </w:pPr>
      <w:r>
        <w:rPr/>
        <w:t>Other credit provisions may be included at the request of Credit depending on the specific counterparty credit risk.  Credit has the right and authority to provide or withhold final approval on all credit provisions that will be included in definitive documents.  Therefore, Legal and Credit personnel are expected to effectively communicate during the negotiation process.  Once approved by Credit, credit provisions are maintained in the respective counterparty credit file.</w:t>
      </w:r>
    </w:p>
    <w:p>
      <w:pPr>
        <w:pStyle w:val="BodyTextIndent"/>
        <w:ind w:start="0" w:end="0"/>
        <w:rPr/>
      </w:pPr>
      <w:r>
        <w:rPr/>
      </w:r>
    </w:p>
    <w:p>
      <w:pPr>
        <w:pStyle w:val="Heading1"/>
        <w:tabs>
          <w:tab w:val="left" w:pos="720" w:leader="none"/>
          <w:tab w:val="left" w:pos="7920" w:leader="none"/>
        </w:tabs>
        <w:ind w:hanging="0" w:start="0"/>
        <w:jc w:val="start"/>
        <w:rPr>
          <w:smallCaps/>
        </w:rPr>
      </w:pPr>
      <w:r>
        <w:rPr>
          <w:smallCaps/>
        </w:rPr>
        <w:t xml:space="preserve">IV. </w:t>
        <w:tab/>
        <w:t>Management Reporting</w:t>
      </w:r>
    </w:p>
    <w:p>
      <w:pPr>
        <w:pStyle w:val="Normal"/>
        <w:rPr>
          <w:smallCaps/>
        </w:rPr>
      </w:pPr>
      <w:r>
        <w:rPr>
          <w:smallCaps/>
        </w:rPr>
      </w:r>
    </w:p>
    <w:p>
      <w:pPr>
        <w:pStyle w:val="Normal"/>
        <w:numPr>
          <w:ilvl w:val="0"/>
          <w:numId w:val="0"/>
        </w:numPr>
        <w:ind w:hanging="0" w:start="0"/>
        <w:jc w:val="both"/>
        <w:rPr/>
      </w:pPr>
      <w:r>
        <w:rPr/>
        <w:t>Credit prepares various reports to quantify and report significant credit risks created from trading activities and to summarize critical credit risk indicators.  Credit will provide reports related to significant credit risk within the Company’s portfolio to the CFO who will ultimately determine the form and manner in which such reports will be made available to senior management and the Board of Directors.  The CFO reports may include, but are not limited to, credit reserves, top 25 counterparty exposures, exposures by credit limit and/or industry and counterparty concentrations.</w:t>
      </w:r>
    </w:p>
    <w:p>
      <w:pPr>
        <w:pStyle w:val="Normal"/>
        <w:numPr>
          <w:ilvl w:val="0"/>
          <w:numId w:val="0"/>
        </w:numPr>
        <w:ind w:hanging="0" w:start="0"/>
        <w:jc w:val="both"/>
        <w:rPr>
          <w:sz w:val="8"/>
        </w:rPr>
      </w:pPr>
      <w:r>
        <w:rPr>
          <w:sz w:val="8"/>
        </w:rPr>
      </w:r>
    </w:p>
    <w:p>
      <w:pPr>
        <w:pStyle w:val="Normal"/>
        <w:numPr>
          <w:ilvl w:val="0"/>
          <w:numId w:val="0"/>
        </w:numPr>
        <w:ind w:hanging="0" w:start="0"/>
        <w:jc w:val="both"/>
        <w:rPr/>
      </w:pPr>
      <w:r>
        <w:rPr/>
        <w:t xml:space="preserve">In addition to portfolio and counterparty credit exposures, Credit is responsible for periodically reporting exceptions to contractual requirements to the CFO as determined by the Treasurer/Vice President of Credit. </w:t>
      </w:r>
    </w:p>
    <w:p>
      <w:pPr>
        <w:pStyle w:val="Normal"/>
        <w:numPr>
          <w:ilvl w:val="0"/>
          <w:numId w:val="0"/>
        </w:numPr>
        <w:ind w:hanging="0" w:start="0"/>
        <w:jc w:val="both"/>
        <w:rPr/>
      </w:pPr>
      <w:r>
        <w:rPr/>
      </w:r>
    </w:p>
    <w:p>
      <w:pPr>
        <w:pStyle w:val="Heading1"/>
        <w:tabs>
          <w:tab w:val="clear" w:pos="720"/>
          <w:tab w:val="left" w:pos="810" w:leader="none"/>
          <w:tab w:val="left" w:pos="7920" w:leader="none"/>
        </w:tabs>
        <w:ind w:hanging="0" w:start="0"/>
        <w:jc w:val="start"/>
        <w:rPr>
          <w:smallCaps/>
        </w:rPr>
      </w:pPr>
      <w:r>
        <w:rPr>
          <w:smallCaps/>
        </w:rPr>
        <w:t xml:space="preserve">V. </w:t>
        <w:tab/>
        <w:t>Policy Administration</w:t>
      </w:r>
    </w:p>
    <w:p>
      <w:pPr>
        <w:pStyle w:val="Normal"/>
        <w:rPr>
          <w:smallCaps/>
        </w:rPr>
      </w:pPr>
      <w:r>
        <w:rPr>
          <w:smallCaps/>
        </w:rPr>
      </w:r>
    </w:p>
    <w:p>
      <w:pPr>
        <w:pStyle w:val="Heading2"/>
        <w:numPr>
          <w:ilvl w:val="0"/>
          <w:numId w:val="0"/>
        </w:numPr>
        <w:ind w:hanging="0" w:start="0"/>
        <w:rPr>
          <w:i/>
          <w:i/>
        </w:rPr>
      </w:pPr>
      <w:r>
        <w:rPr>
          <w:i/>
        </w:rPr>
        <w:t>Employee Review of Policy</w:t>
      </w:r>
    </w:p>
    <w:p>
      <w:pPr>
        <w:pStyle w:val="Normal"/>
        <w:ind w:start="720" w:end="0"/>
        <w:rPr>
          <w:i/>
          <w:i/>
          <w:sz w:val="8"/>
        </w:rPr>
      </w:pPr>
      <w:r>
        <w:rPr>
          <w:i/>
          <w:sz w:val="8"/>
        </w:rPr>
      </w:r>
    </w:p>
    <w:p>
      <w:pPr>
        <w:pStyle w:val="BodyText3"/>
        <w:spacing w:before="0" w:after="0"/>
        <w:rPr>
          <w:sz w:val="20"/>
        </w:rPr>
      </w:pPr>
      <w:r>
        <w:rPr>
          <w:sz w:val="20"/>
        </w:rPr>
        <w:t>Any employee of the Company participating in any activity or transaction within coverage of this Policy shall obtain and review a copy of this Policy.  Such employees must read, understand and comply with this Policy.</w:t>
      </w:r>
    </w:p>
    <w:p>
      <w:pPr>
        <w:pStyle w:val="Normal"/>
        <w:jc w:val="both"/>
        <w:rPr>
          <w:sz w:val="8"/>
        </w:rPr>
      </w:pPr>
      <w:r>
        <w:rPr>
          <w:sz w:val="8"/>
        </w:rPr>
      </w:r>
    </w:p>
    <w:p>
      <w:pPr>
        <w:pStyle w:val="Heading2"/>
        <w:numPr>
          <w:ilvl w:val="0"/>
          <w:numId w:val="0"/>
        </w:numPr>
        <w:ind w:hanging="0" w:start="0"/>
        <w:rPr>
          <w:i/>
          <w:i/>
        </w:rPr>
      </w:pPr>
      <w:r>
        <w:rPr>
          <w:i/>
        </w:rPr>
        <w:t>Supersedes Prior Policies</w:t>
      </w:r>
    </w:p>
    <w:p>
      <w:pPr>
        <w:pStyle w:val="Normal"/>
        <w:jc w:val="both"/>
        <w:rPr>
          <w:i/>
          <w:i/>
          <w:sz w:val="8"/>
        </w:rPr>
      </w:pPr>
      <w:r>
        <w:rPr>
          <w:i/>
          <w:sz w:val="8"/>
        </w:rPr>
      </w:r>
    </w:p>
    <w:p>
      <w:pPr>
        <w:pStyle w:val="Normal"/>
        <w:jc w:val="both"/>
        <w:rPr/>
      </w:pPr>
      <w:r>
        <w:rPr/>
        <w:t>This Policy supersedes and replaces all previous Credit Risk Management policies concerning credit risk activities that are included within the scope of this Policy.</w:t>
      </w:r>
    </w:p>
    <w:sectPr>
      <w:headerReference w:type="default" r:id="rId2"/>
      <w:type w:val="nextPage"/>
      <w:pgSz w:w="12240" w:h="15840"/>
      <w:pgMar w:left="720" w:right="720" w:gutter="0" w:header="720" w:top="776"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entury Schoolbook">
    <w:altName w:val="Bookman Old Style"/>
    <w:charset w:val="00" w:characterSet="windows-1252"/>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left" w:pos="720" w:leader="none"/>
        <w:tab w:val="left" w:pos="1440" w:leader="none"/>
        <w:tab w:val="left" w:pos="2160" w:leader="none"/>
        <w:tab w:val="left" w:pos="2880" w:leader="none"/>
        <w:tab w:val="left" w:pos="3600" w:leader="none"/>
        <w:tab w:val="center" w:pos="4320" w:leader="none"/>
        <w:tab w:val="left" w:pos="5040" w:leader="none"/>
        <w:tab w:val="left" w:pos="5760" w:leader="none"/>
        <w:tab w:val="left" w:pos="6480" w:leader="none"/>
        <w:tab w:val="left" w:pos="7200" w:leader="none"/>
        <w:tab w:val="left" w:pos="7920" w:leader="none"/>
        <w:tab w:val="right" w:pos="8640" w:leader="none"/>
      </w:tabs>
      <w:rPr/>
    </w:pPr>
    <w:r>
      <w:rPr/>
      <w:t xml:space="preserve">               </w:t>
    </w:r>
    <w:r>
      <w:rPr>
        <w:b/>
        <w:sz w:val="18"/>
        <w:u w:val="single"/>
      </w:rPr>
      <w:t xml:space="preserve"> </w:t>
    </w:r>
    <w:r>
      <w:rPr>
        <w:b/>
        <w:sz w:val="18"/>
        <w:u w:val="single"/>
      </w:rPr>
      <w:t xml:space="preserve">FINAL </w:t>
    </w:r>
    <w:r>
      <w:rPr>
        <w:b/>
        <w:sz w:val="18"/>
        <w:u w:val="single"/>
      </w:rPr>
      <w:fldChar w:fldCharType="begin"/>
    </w:r>
    <w:r>
      <w:rPr>
        <w:sz w:val="18"/>
        <w:u w:val="single"/>
        <w:b/>
      </w:rPr>
      <w:instrText xml:space="preserve"> DATE \@"M\/d\/yy" </w:instrText>
    </w:r>
    <w:r>
      <w:rPr>
        <w:sz w:val="18"/>
        <w:u w:val="single"/>
        <w:b/>
      </w:rPr>
      <w:fldChar w:fldCharType="separate"/>
    </w:r>
    <w:r>
      <w:rPr>
        <w:sz w:val="18"/>
        <w:u w:val="single"/>
        <w:b/>
      </w:rPr>
      <w:t>9/28/25</w:t>
    </w:r>
    <w:r>
      <w:rPr>
        <w:sz w:val="18"/>
        <w:u w:val="single"/>
        <w:b/>
      </w:rPr>
      <w:fldChar w:fldCharType="end"/>
    </w:r>
    <w:r>
      <w:rPr>
        <w:b/>
        <w:sz w:val="18"/>
        <w:u w:val="single"/>
      </w:rPr>
      <w:tab/>
    </w:r>
  </w:p>
  <w:p>
    <w:pPr>
      <w:pStyle w:val="Header"/>
      <w:tabs>
        <w:tab w:val="left" w:pos="720" w:leader="none"/>
        <w:tab w:val="left" w:pos="1440" w:leader="none"/>
        <w:tab w:val="left" w:pos="2160" w:leader="none"/>
        <w:tab w:val="left" w:pos="2880" w:leader="none"/>
        <w:tab w:val="left" w:pos="3600" w:leader="none"/>
        <w:tab w:val="center" w:pos="4320" w:leader="none"/>
        <w:tab w:val="left" w:pos="5040" w:leader="none"/>
        <w:tab w:val="left" w:pos="5760" w:leader="none"/>
        <w:tab w:val="left" w:pos="6480" w:leader="none"/>
        <w:tab w:val="left" w:pos="7200" w:leader="none"/>
        <w:tab w:val="left" w:pos="7920" w:leader="none"/>
        <w:tab w:val="right" w:pos="8640" w:leader="none"/>
      </w:tabs>
      <w:rPr>
        <w:b/>
        <w:sz w:val="18"/>
        <w:u w:val="single"/>
      </w:rPr>
    </w:pPr>
    <w:r>
      <w:rPr>
        <w:b/>
        <w:sz w:val="18"/>
        <w:u w:val="single"/>
      </w:rPr>
      <w:t>PRIVILEGED AND CONFIDENTIAL</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upperRoman"/>
      <w:lvlText w:val="%1."/>
      <w:lvlJc w:val="start"/>
      <w:pPr>
        <w:tabs>
          <w:tab w:val="num" w:pos="720"/>
        </w:tabs>
        <w:ind w:start="720" w:hanging="720"/>
      </w:pPr>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revisionView w:insDel="0" w:formatting="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rPr>
  </w:style>
  <w:style w:type="paragraph" w:styleId="Heading2">
    <w:name w:val="heading 2"/>
    <w:basedOn w:val="Normal"/>
    <w:next w:val="Normal"/>
    <w:qFormat/>
    <w:pPr>
      <w:keepNext w:val="true"/>
      <w:numPr>
        <w:ilvl w:val="0"/>
        <w:numId w:val="5"/>
      </w:numPr>
      <w:jc w:val="both"/>
      <w:outlineLvl w:val="1"/>
    </w:pPr>
    <w:rPr>
      <w:b/>
    </w:rPr>
  </w:style>
  <w:style w:type="paragraph" w:styleId="Heading3">
    <w:name w:val="heading 3"/>
    <w:basedOn w:val="Normal"/>
    <w:next w:val="Normal"/>
    <w:qFormat/>
    <w:pPr>
      <w:keepNext w:val="true"/>
      <w:numPr>
        <w:ilvl w:val="2"/>
        <w:numId w:val="1"/>
      </w:numPr>
      <w:ind w:hanging="0" w:start="720" w:end="0"/>
      <w:jc w:val="both"/>
      <w:outlineLvl w:val="2"/>
    </w:pPr>
    <w:rPr>
      <w:b/>
    </w:rPr>
  </w:style>
  <w:style w:type="paragraph" w:styleId="Heading4">
    <w:name w:val="heading 4"/>
    <w:basedOn w:val="Normal"/>
    <w:next w:val="Normal"/>
    <w:qFormat/>
    <w:pPr>
      <w:keepNext w:val="true"/>
      <w:numPr>
        <w:ilvl w:val="3"/>
        <w:numId w:val="1"/>
      </w:numPr>
      <w:jc w:val="both"/>
      <w:outlineLvl w:val="3"/>
    </w:pPr>
    <w:rPr>
      <w:b/>
    </w:rPr>
  </w:style>
  <w:style w:type="paragraph" w:styleId="Heading5">
    <w:name w:val="heading 5"/>
    <w:basedOn w:val="Normal"/>
    <w:next w:val="Normal"/>
    <w:qFormat/>
    <w:pPr>
      <w:keepNext w:val="true"/>
      <w:numPr>
        <w:ilvl w:val="4"/>
        <w:numId w:val="1"/>
      </w:numPr>
      <w:outlineLvl w:val="4"/>
    </w:pPr>
    <w:rPr>
      <w:b/>
    </w:rPr>
  </w:style>
  <w:style w:type="paragraph" w:styleId="Heading6">
    <w:name w:val="heading 6"/>
    <w:basedOn w:val="Normal"/>
    <w:next w:val="Normal"/>
    <w:qFormat/>
    <w:pPr>
      <w:keepNext w:val="true"/>
      <w:numPr>
        <w:ilvl w:val="5"/>
        <w:numId w:val="1"/>
      </w:numPr>
      <w:spacing w:before="0" w:after="60"/>
      <w:ind w:hanging="360" w:start="1080" w:end="0"/>
      <w:jc w:val="both"/>
      <w:outlineLvl w:val="5"/>
    </w:pPr>
    <w:rPr>
      <w:b/>
    </w:rPr>
  </w:style>
  <w:style w:type="paragraph" w:styleId="Heading7">
    <w:name w:val="heading 7"/>
    <w:basedOn w:val="Normal"/>
    <w:next w:val="Normal"/>
    <w:qFormat/>
    <w:pPr>
      <w:keepNext w:val="true"/>
      <w:numPr>
        <w:ilvl w:val="6"/>
        <w:numId w:val="1"/>
      </w:numPr>
      <w:outlineLvl w:val="6"/>
    </w:pPr>
    <w:rPr>
      <w:b/>
      <w:i/>
    </w:rPr>
  </w:style>
  <w:style w:type="paragraph" w:styleId="Heading8">
    <w:name w:val="heading 8"/>
    <w:basedOn w:val="Normal"/>
    <w:next w:val="Normal"/>
    <w:qFormat/>
    <w:pPr>
      <w:keepNext w:val="true"/>
      <w:numPr>
        <w:ilvl w:val="7"/>
        <w:numId w:val="1"/>
      </w:numPr>
      <w:spacing w:before="0" w:after="60"/>
      <w:ind w:hanging="0" w:start="0" w:end="0"/>
      <w:jc w:val="both"/>
      <w:outlineLvl w:val="7"/>
    </w:pPr>
    <w:rPr>
      <w:b/>
      <w:i/>
    </w:rPr>
  </w:style>
  <w:style w:type="paragraph" w:styleId="Heading9">
    <w:name w:val="heading 9"/>
    <w:basedOn w:val="Normal"/>
    <w:next w:val="Normal"/>
    <w:qFormat/>
    <w:pPr>
      <w:keepNext w:val="true"/>
      <w:numPr>
        <w:ilvl w:val="8"/>
        <w:numId w:val="1"/>
      </w:numPr>
      <w:jc w:val="center"/>
      <w:outlineLvl w:val="8"/>
    </w:pPr>
    <w:rPr>
      <w:b/>
      <w:color w:val="000000"/>
      <w:sz w:val="36"/>
      <w:u w:val="single"/>
      <w:lang w:eastAsia="en-US"/>
    </w:rPr>
  </w:style>
  <w:style w:type="character" w:styleId="WW8Num1z0">
    <w:name w:val="WW8Num1z0"/>
    <w:qFormat/>
    <w:rPr>
      <w:rFonts w:ascii="Century Schoolbook;Bookman Old Style" w:hAnsi="Century Schoolbook;Bookman Old Style" w:cs="Century Schoolbook;Bookman Old Style"/>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8z0">
    <w:name w:val="WW8Num18z0"/>
    <w:qFormat/>
    <w:rPr/>
  </w:style>
  <w:style w:type="character" w:styleId="WW8Num19z0">
    <w:name w:val="WW8Num19z0"/>
    <w:qFormat/>
    <w:rPr>
      <w:rFonts w:ascii="Symbol" w:hAnsi="Symbol" w:cs="Symbol"/>
    </w:rPr>
  </w:style>
  <w:style w:type="character" w:styleId="WW8Num20z0">
    <w:name w:val="WW8Num20z0"/>
    <w:qFormat/>
    <w:rPr>
      <w:rFonts w:ascii="Symbol" w:hAnsi="Symbol" w:cs="Symbol"/>
    </w:rPr>
  </w:style>
  <w:style w:type="character" w:styleId="WW8Num21z0">
    <w:name w:val="WW8Num21z0"/>
    <w:qFormat/>
    <w:rPr/>
  </w:style>
  <w:style w:type="character" w:styleId="WW8Num22z0">
    <w:name w:val="WW8Num22z0"/>
    <w:qFormat/>
    <w:rPr>
      <w:rFonts w:ascii="Symbol" w:hAnsi="Symbol" w:cs="Symbol"/>
    </w:rPr>
  </w:style>
  <w:style w:type="character" w:styleId="WW8Num23z0">
    <w:name w:val="WW8Num23z0"/>
    <w:qFormat/>
    <w:rPr>
      <w:rFonts w:ascii="Symbol" w:hAnsi="Symbol" w:cs="Symbol"/>
    </w:rPr>
  </w:style>
  <w:style w:type="character" w:styleId="WW8Num24z0">
    <w:name w:val="WW8Num24z0"/>
    <w:qFormat/>
    <w:rPr>
      <w:rFonts w:ascii="Symbol" w:hAnsi="Symbol" w:cs="Symbol"/>
    </w:rPr>
  </w:style>
  <w:style w:type="character" w:styleId="WW8Num25z0">
    <w:name w:val="WW8Num25z0"/>
    <w:qFormat/>
    <w:rPr/>
  </w:style>
  <w:style w:type="character" w:styleId="WW8Num26z0">
    <w:name w:val="WW8Num26z0"/>
    <w:qFormat/>
    <w:rPr>
      <w:rFonts w:ascii="Symbol" w:hAnsi="Symbol" w:cs="Symbol"/>
    </w:rPr>
  </w:style>
  <w:style w:type="character" w:styleId="WW8Num27z0">
    <w:name w:val="WW8Num27z0"/>
    <w:qFormat/>
    <w:rPr>
      <w:rFonts w:ascii="Symbol" w:hAnsi="Symbol" w:cs="Symbol"/>
    </w:rPr>
  </w:style>
  <w:style w:type="character" w:styleId="WW8Num28z0">
    <w:name w:val="WW8Num28z0"/>
    <w:qFormat/>
    <w:rPr>
      <w:rFonts w:ascii="Symbol" w:hAnsi="Symbol" w:cs="Symbol"/>
    </w:rPr>
  </w:style>
  <w:style w:type="character" w:styleId="WW8Num29z0">
    <w:name w:val="WW8Num29z0"/>
    <w:qFormat/>
    <w:rPr>
      <w:rFonts w:ascii="Symbol" w:hAnsi="Symbol" w:cs="Symbol"/>
    </w:rPr>
  </w:style>
  <w:style w:type="character" w:styleId="WW8Num30z0">
    <w:name w:val="WW8Num30z0"/>
    <w:qFormat/>
    <w:rPr>
      <w:rFonts w:ascii="Symbol" w:hAnsi="Symbol" w:cs="Symbol"/>
    </w:rPr>
  </w:style>
  <w:style w:type="character" w:styleId="WW8Num31z0">
    <w:name w:val="WW8Num31z0"/>
    <w:qFormat/>
    <w:rPr>
      <w:rFonts w:ascii="Symbol" w:hAnsi="Symbol" w:cs="Symbol"/>
    </w:rPr>
  </w:style>
  <w:style w:type="character" w:styleId="WW8Num32z0">
    <w:name w:val="WW8Num32z0"/>
    <w:qFormat/>
    <w:rPr>
      <w:rFonts w:ascii="Symbol" w:hAnsi="Symbol" w:cs="Symbol"/>
    </w:rPr>
  </w:style>
  <w:style w:type="character" w:styleId="WW8Num33z0">
    <w:name w:val="WW8Num33z0"/>
    <w:qFormat/>
    <w:rPr/>
  </w:style>
  <w:style w:type="character" w:styleId="WW8Num34z0">
    <w:name w:val="WW8Num34z0"/>
    <w:qFormat/>
    <w:rPr>
      <w:rFonts w:ascii="Symbol" w:hAnsi="Symbol" w:cs="Symbol"/>
    </w:rPr>
  </w:style>
  <w:style w:type="character" w:styleId="WW8Num35z0">
    <w:name w:val="WW8Num35z0"/>
    <w:qFormat/>
    <w:rPr>
      <w:rFonts w:ascii="Symbol" w:hAnsi="Symbol" w:cs="Symbol"/>
    </w:rPr>
  </w:style>
  <w:style w:type="character" w:styleId="WW8Num36z0">
    <w:name w:val="WW8Num36z0"/>
    <w:qFormat/>
    <w:rPr>
      <w:rFonts w:ascii="Symbol" w:hAnsi="Symbol" w:cs="Symbol"/>
    </w:rPr>
  </w:style>
  <w:style w:type="character" w:styleId="WW8Num37z0">
    <w:name w:val="WW8Num37z0"/>
    <w:qFormat/>
    <w:rPr>
      <w:rFonts w:ascii="Symbol" w:hAnsi="Symbol" w:cs="Symbol"/>
    </w:rPr>
  </w:style>
  <w:style w:type="character" w:styleId="WW8Num38z0">
    <w:name w:val="WW8Num38z0"/>
    <w:qFormat/>
    <w:rPr>
      <w:rFonts w:ascii="Symbol" w:hAnsi="Symbol" w:cs="Symbol"/>
    </w:rPr>
  </w:style>
  <w:style w:type="character" w:styleId="WW8Num39z0">
    <w:name w:val="WW8Num39z0"/>
    <w:qFormat/>
    <w:rPr>
      <w:rFonts w:ascii="Symbol" w:hAnsi="Symbol" w:cs="Symbol"/>
    </w:rPr>
  </w:style>
  <w:style w:type="character" w:styleId="WW8Num40z0">
    <w:name w:val="WW8Num40z0"/>
    <w:qFormat/>
    <w:rPr>
      <w:rFonts w:ascii="Symbol" w:hAnsi="Symbol" w:cs="Symbol"/>
    </w:rPr>
  </w:style>
  <w:style w:type="character" w:styleId="WW8Num41z0">
    <w:name w:val="WW8Num41z0"/>
    <w:qFormat/>
    <w:rPr>
      <w:rFonts w:ascii="Symbol" w:hAnsi="Symbol" w:cs="Symbol"/>
    </w:rPr>
  </w:style>
  <w:style w:type="character" w:styleId="WW8NumSt13z0">
    <w:name w:val="WW8NumSt13z0"/>
    <w:qFormat/>
    <w:rPr>
      <w:rFonts w:ascii="Symbol" w:hAnsi="Symbol" w:cs="Symbol"/>
    </w:rPr>
  </w:style>
  <w:style w:type="character" w:styleId="WW8NumSt38z0">
    <w:name w:val="WW8NumSt38z0"/>
    <w:qFormat/>
    <w:rPr>
      <w:rFonts w:ascii="Arial" w:hAnsi="Arial" w:cs="Arial"/>
      <w:sz w:val="18"/>
    </w:rPr>
  </w:style>
  <w:style w:type="character" w:styleId="WW8NumSt39z0">
    <w:name w:val="WW8NumSt39z0"/>
    <w:qFormat/>
    <w:rPr>
      <w:rFonts w:ascii="Arial" w:hAnsi="Arial" w:cs="Arial"/>
      <w:sz w:val="16"/>
    </w:rPr>
  </w:style>
  <w:style w:type="character" w:styleId="WW8NumSt40z0">
    <w:name w:val="WW8NumSt40z0"/>
    <w:qFormat/>
    <w:rPr>
      <w:rFonts w:ascii="Times New Roman" w:hAnsi="Times New Roman" w:cs="Times New Roman"/>
      <w:sz w:val="18"/>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rPr>
  </w:style>
  <w:style w:type="paragraph" w:styleId="BodyText">
    <w:name w:val="Body Text"/>
    <w:basedOn w:val="Normal"/>
    <w:pPr>
      <w:numPr>
        <w:ilvl w:val="0"/>
        <w:numId w:val="0"/>
      </w:numPr>
      <w:ind w:hanging="0" w:start="0" w:end="0"/>
      <w:jc w:val="both"/>
    </w:pPr>
    <w:rPr>
      <w:u w:val="single"/>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1440" w:end="0"/>
      <w:jc w:val="both"/>
    </w:pPr>
    <w:rPr/>
  </w:style>
  <w:style w:type="paragraph" w:styleId="CommentText">
    <w:name w:val="Comment Text"/>
    <w:basedOn w:val="Normal"/>
    <w:qFormat/>
    <w:pPr/>
    <w:rPr/>
  </w:style>
  <w:style w:type="paragraph" w:styleId="BodyTextIndent2">
    <w:name w:val="Body Text Indent 2"/>
    <w:basedOn w:val="Normal"/>
    <w:qFormat/>
    <w:pPr>
      <w:ind w:hanging="0" w:start="720" w:end="0"/>
      <w:jc w:val="both"/>
    </w:pPr>
    <w:rPr/>
  </w:style>
  <w:style w:type="paragraph" w:styleId="BodyTextIndent3">
    <w:name w:val="Body Text Indent 3"/>
    <w:basedOn w:val="Normal"/>
    <w:qFormat/>
    <w:pPr>
      <w:ind w:hanging="0" w:start="720" w:end="0"/>
    </w:pPr>
    <w:rPr/>
  </w:style>
  <w:style w:type="paragraph" w:styleId="BodyText2">
    <w:name w:val="Body Text 2"/>
    <w:basedOn w:val="Normal"/>
    <w:qFormat/>
    <w:pPr/>
    <w:rPr>
      <w:i/>
      <w:sz w:val="24"/>
    </w:rPr>
  </w:style>
  <w:style w:type="paragraph" w:styleId="BodyText3">
    <w:name w:val="Body Text 3"/>
    <w:basedOn w:val="Normal"/>
    <w:qFormat/>
    <w:pPr>
      <w:spacing w:before="0" w:after="120"/>
      <w:jc w:val="both"/>
    </w:pPr>
    <w:rPr>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2000-12-09T16:01:00Z</dcterms:created>
  <dc:creator>LSK</dc:creator>
  <dc:description>Shankar's Birthday falls on 25th July.  Don't Forget to wish him</dc:description>
  <cp:keywords>Birthday</cp:keywords>
  <dc:language>en-CA</dc:language>
  <cp:lastModifiedBy>Earlene Ackley</cp:lastModifiedBy>
  <cp:lastPrinted>2000-11-06T16:40:00Z</cp:lastPrinted>
  <dcterms:modified xsi:type="dcterms:W3CDTF">2000-12-21T19:18:00Z</dcterms:modified>
  <cp:revision>5</cp:revision>
  <dc:subject>Birthday </dc:subject>
  <dc:title>Are You suprised ?</dc:title>
</cp:coreProperties>
</file>