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smallCaps/>
          <w:sz w:val="24"/>
        </w:rPr>
      </w:pPr>
      <w:r>
        <w:rPr>
          <w:b/>
          <w:smallCaps/>
          <w:sz w:val="24"/>
        </w:rPr>
        <w:t>Credit Pricing Methodology – Enron Credit Markets Group</w:t>
      </w:r>
    </w:p>
    <w:p>
      <w:pPr>
        <w:pStyle w:val="Normal"/>
        <w:jc w:val="both"/>
        <w:rPr>
          <w:b/>
          <w:smallCaps/>
          <w:sz w:val="24"/>
        </w:rPr>
      </w:pPr>
      <w:r>
        <w:rPr>
          <w:b/>
          <w:smallCaps/>
          <w:sz w:val="24"/>
        </w:rPr>
      </w:r>
    </w:p>
    <w:p>
      <w:pPr>
        <w:pStyle w:val="Normal"/>
        <w:jc w:val="both"/>
        <w:rPr>
          <w:b/>
          <w:i/>
          <w:i/>
          <w:smallCaps/>
          <w:sz w:val="24"/>
        </w:rPr>
      </w:pPr>
      <w:r>
        <w:rPr>
          <w:b/>
          <w:smallCaps/>
          <w:sz w:val="24"/>
        </w:rPr>
        <w:t>Discussion Paper</w:t>
      </w:r>
    </w:p>
    <w:p>
      <w:pPr>
        <w:pStyle w:val="Normal"/>
        <w:jc w:val="both"/>
        <w:rPr>
          <w:b/>
          <w:i/>
          <w:i/>
          <w:smallCaps/>
          <w:sz w:val="24"/>
        </w:rPr>
      </w:pPr>
      <w:r>
        <w:rPr>
          <w:b/>
          <w:i/>
          <w:smallCaps/>
          <w:sz w:val="24"/>
        </w:rPr>
      </w:r>
    </w:p>
    <w:p>
      <w:pPr>
        <w:pStyle w:val="Normal"/>
        <w:jc w:val="both"/>
        <w:rPr>
          <w:b/>
          <w:smallCaps/>
          <w:sz w:val="24"/>
        </w:rPr>
      </w:pPr>
      <w:r>
        <w:rPr>
          <w:b/>
          <w:smallCaps/>
          <w:sz w:val="24"/>
        </w:rPr>
        <w:t>Ben Parsons – Enron Europe Research – January 2000</w:t>
      </w:r>
    </w:p>
    <w:p>
      <w:pPr>
        <w:pStyle w:val="Normal"/>
        <w:jc w:val="both"/>
        <w:rPr>
          <w:b/>
          <w:smallCaps/>
          <w:sz w:val="24"/>
        </w:rPr>
      </w:pPr>
      <w:r>
        <w:rPr>
          <w:b/>
          <w:smallCaps/>
          <w:sz w:val="24"/>
        </w:rPr>
      </w:r>
    </w:p>
    <w:p>
      <w:pPr>
        <w:pStyle w:val="Heading1"/>
        <w:ind w:hanging="0" w:start="0"/>
        <w:jc w:val="both"/>
        <w:rPr>
          <w:sz w:val="24"/>
        </w:rPr>
      </w:pPr>
      <w:r>
        <w:rPr>
          <w:sz w:val="24"/>
        </w:rPr>
        <w:t>Internal and Confidential</w:t>
      </w:r>
    </w:p>
    <w:p>
      <w:pPr>
        <w:pStyle w:val="Normal"/>
        <w:pBdr>
          <w:bottom w:val="single" w:sz="4" w:space="1" w:color="000000"/>
        </w:pBdr>
        <w:jc w:val="both"/>
        <w:rPr>
          <w:sz w:val="24"/>
        </w:rPr>
      </w:pPr>
      <w:r>
        <w:rPr>
          <w:sz w:val="24"/>
        </w:rPr>
      </w:r>
    </w:p>
    <w:p>
      <w:pPr>
        <w:pStyle w:val="Normal"/>
        <w:jc w:val="both"/>
        <w:rPr/>
      </w:pPr>
      <w:r>
        <w:rPr/>
      </w:r>
    </w:p>
    <w:p>
      <w:pPr>
        <w:pStyle w:val="Normal"/>
        <w:jc w:val="both"/>
        <w:rPr/>
      </w:pPr>
      <w:r>
        <w:rPr/>
      </w:r>
    </w:p>
    <w:p>
      <w:pPr>
        <w:pStyle w:val="Normal"/>
        <w:jc w:val="both"/>
        <w:rPr/>
      </w:pPr>
      <w:r>
        <w:rPr/>
        <w:t>This paper proposes a methodology for pricing bankruptcy swaps – products Enron will be marketing globally from 24 January 2000. This summarises recent conversations with Martin McDermott and Bryan Seyfried about how the initial framework will be established, and is open to discussion. Any further ideas or questions are welcome.</w:t>
      </w:r>
    </w:p>
    <w:p>
      <w:pPr>
        <w:pStyle w:val="Normal"/>
        <w:jc w:val="both"/>
        <w:rPr/>
      </w:pPr>
      <w:r>
        <w:rPr/>
      </w:r>
    </w:p>
    <w:p>
      <w:pPr>
        <w:pStyle w:val="Normal"/>
        <w:jc w:val="both"/>
        <w:rPr/>
      </w:pPr>
      <w:r>
        <w:rPr/>
      </w:r>
    </w:p>
    <w:p>
      <w:pPr>
        <w:pStyle w:val="Normal"/>
        <w:numPr>
          <w:ilvl w:val="0"/>
          <w:numId w:val="2"/>
        </w:numPr>
        <w:jc w:val="both"/>
        <w:rPr>
          <w:b/>
        </w:rPr>
      </w:pPr>
      <w:r>
        <w:rPr>
          <w:b/>
        </w:rPr>
        <w:t>OUTLINE</w:t>
      </w:r>
    </w:p>
    <w:p>
      <w:pPr>
        <w:pStyle w:val="Normal"/>
        <w:jc w:val="both"/>
        <w:rPr>
          <w:b/>
        </w:rPr>
      </w:pPr>
      <w:r>
        <w:rPr>
          <w:b/>
        </w:rPr>
      </w:r>
    </w:p>
    <w:p>
      <w:pPr>
        <w:pStyle w:val="Normal"/>
        <w:jc w:val="both"/>
        <w:rPr/>
      </w:pPr>
      <w:r>
        <w:rPr/>
        <w:t>This paper begins with a simple description of the bankruptcy swap, before moving on to examine to effect of counterparty credit risk on the pricing. Having established this treatment we move on to a description of the proposed method for pricing these products, given different payment schemes. Having derived the price of the bankruptcy swap we then outline briefly the methodology used to build the credit curves which underpin the pricing. Finally we discuss some risk management aspects of the products – the mark-to-market methodology, obtaining delta positions, and calculating a value-at-risk. This document is only intended as a preliminary discussion paper, so many of the sections are inconclusive, awaiting both further ideas and market development.</w:t>
      </w:r>
    </w:p>
    <w:p>
      <w:pPr>
        <w:pStyle w:val="Normal"/>
        <w:jc w:val="both"/>
        <w:rPr/>
      </w:pPr>
      <w:r>
        <w:rPr/>
      </w:r>
    </w:p>
    <w:p>
      <w:pPr>
        <w:pStyle w:val="Normal"/>
        <w:jc w:val="both"/>
        <w:rPr/>
      </w:pPr>
      <w:r>
        <w:rPr/>
      </w:r>
    </w:p>
    <w:p>
      <w:pPr>
        <w:pStyle w:val="Heading2"/>
        <w:ind w:hanging="0" w:start="0"/>
        <w:jc w:val="both"/>
        <w:rPr/>
      </w:pPr>
      <w:r>
        <w:rPr/>
        <w:t>2.</w:t>
        <w:tab/>
      </w:r>
      <w:r>
        <w:rPr>
          <w:caps/>
        </w:rPr>
        <w:t>Bankruptcy Swap</w:t>
      </w:r>
    </w:p>
    <w:p>
      <w:pPr>
        <w:pStyle w:val="Normal"/>
        <w:jc w:val="both"/>
        <w:rPr/>
      </w:pPr>
      <w:r>
        <w:rPr/>
      </w:r>
    </w:p>
    <w:p>
      <w:pPr>
        <w:pStyle w:val="Normal"/>
        <w:jc w:val="both"/>
        <w:rPr/>
      </w:pPr>
      <w:r>
        <w:rPr/>
        <w:t>The bankruptcy swap is a product specifically designed to meet the needs of corporates who wish to hedge the credit risk on their transactions, but do not wish to enter into bond-related protection. The bankruptcy swap strips away the recovery risk inherent in most credit default swap contracts, and also tailors the credit event to corporate bankruptcy risk rather than bond default risk. This product will fill a gap in the existing corporate protection market.</w:t>
      </w:r>
    </w:p>
    <w:p>
      <w:pPr>
        <w:pStyle w:val="Normal"/>
        <w:jc w:val="both"/>
        <w:rPr/>
      </w:pPr>
      <w:r>
        <w:rPr/>
      </w:r>
    </w:p>
    <w:p>
      <w:pPr>
        <w:pStyle w:val="Normal"/>
        <w:jc w:val="both"/>
        <w:rPr/>
      </w:pPr>
      <w:r>
        <w:rPr/>
        <w:t>The product is structured as follows: The buyer of the bankruptcy swap pays the seller a fixed premium, in return for the contingent payment of a notional sum, where this payment is triggered by the bankruptcy of a reference entity. The premium can be paid either upfront or as periodic (monthly or quarterly) payments. The contract terminates following the credit event, and the premium payments cease.</w:t>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32">
                <wp:simplePos x="0" y="0"/>
                <wp:positionH relativeFrom="column">
                  <wp:posOffset>2052955</wp:posOffset>
                </wp:positionH>
                <wp:positionV relativeFrom="paragraph">
                  <wp:posOffset>73025</wp:posOffset>
                </wp:positionV>
                <wp:extent cx="831850" cy="191770"/>
                <wp:effectExtent l="0" t="0" r="0" b="0"/>
                <wp:wrapNone/>
                <wp:docPr id="1" name="Frame2"/>
                <a:graphic xmlns:a="http://schemas.openxmlformats.org/drawingml/2006/main">
                  <a:graphicData uri="http://schemas.microsoft.com/office/word/2010/wordprocessingShape">
                    <wps:wsp>
                      <wps:cNvSpPr txBox="1"/>
                      <wps:spPr>
                        <a:xfrm>
                          <a:off x="0" y="0"/>
                          <a:ext cx="831850" cy="191770"/>
                        </a:xfrm>
                        <a:prstGeom prst="rect"/>
                        <a:solidFill>
                          <a:srgbClr val="FFFFFF"/>
                        </a:solidFill>
                        <a:ln w="9525">
                          <a:solidFill>
                            <a:srgbClr val="000000"/>
                          </a:solidFill>
                        </a:ln>
                      </wps:spPr>
                      <wps:txbx>
                        <w:txbxContent>
                          <w:p>
                            <w:pPr>
                              <w:pStyle w:val="Normal"/>
                              <w:jc w:val="center"/>
                              <w:rPr>
                                <w:sz w:val="16"/>
                              </w:rPr>
                            </w:pPr>
                            <w:r>
                              <w:rPr>
                                <w:sz w:val="16"/>
                              </w:rPr>
                              <w:t>PREMIUM</w:t>
                            </w:r>
                          </w:p>
                        </w:txbxContent>
                      </wps:txbx>
                      <wps:bodyPr anchor="t" lIns="91440" tIns="45720" rIns="91440" bIns="45720">
                        <a:noAutofit/>
                      </wps:bodyPr>
                    </wps:wsp>
                  </a:graphicData>
                </a:graphic>
              </wp:anchor>
            </w:drawing>
          </mc:Choice>
          <mc:Fallback>
            <w:pict>
              <v:rect fillcolor="#FFFFFF" strokecolor="#000000" strokeweight="0pt" style="position:absolute;rotation:-0;width:65.5pt;height:15.1pt;mso-wrap-distance-left:9.05pt;mso-wrap-distance-right:9.05pt;mso-wrap-distance-top:0pt;mso-wrap-distance-bottom:0pt;margin-top:5.75pt;mso-position-vertical-relative:text;margin-left:161.65pt;mso-position-horizontal-relative:text">
                <v:textbox>
                  <w:txbxContent>
                    <w:p>
                      <w:pPr>
                        <w:pStyle w:val="Normal"/>
                        <w:jc w:val="center"/>
                        <w:rPr>
                          <w:sz w:val="16"/>
                        </w:rPr>
                      </w:pPr>
                      <w:r>
                        <w:rPr>
                          <w:sz w:val="16"/>
                        </w:rPr>
                        <w:t>PREMIUM</w:t>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2052955</wp:posOffset>
                </wp:positionH>
                <wp:positionV relativeFrom="paragraph">
                  <wp:posOffset>528320</wp:posOffset>
                </wp:positionV>
                <wp:extent cx="831850" cy="191770"/>
                <wp:effectExtent l="0" t="0" r="0" b="0"/>
                <wp:wrapNone/>
                <wp:docPr id="2" name="Frame1"/>
                <a:graphic xmlns:a="http://schemas.openxmlformats.org/drawingml/2006/main">
                  <a:graphicData uri="http://schemas.microsoft.com/office/word/2010/wordprocessingShape">
                    <wps:wsp>
                      <wps:cNvSpPr txBox="1"/>
                      <wps:spPr>
                        <a:xfrm>
                          <a:off x="0" y="0"/>
                          <a:ext cx="831850" cy="191770"/>
                        </a:xfrm>
                        <a:prstGeom prst="rect"/>
                        <a:solidFill>
                          <a:srgbClr val="FFFFFF"/>
                        </a:solidFill>
                        <a:ln w="9525">
                          <a:solidFill>
                            <a:srgbClr val="000000"/>
                          </a:solidFill>
                          <a:prstDash val="dash"/>
                        </a:ln>
                      </wps:spPr>
                      <wps:txbx>
                        <w:txbxContent>
                          <w:p>
                            <w:pPr>
                              <w:pStyle w:val="Normal"/>
                              <w:jc w:val="center"/>
                              <w:rPr>
                                <w:sz w:val="16"/>
                              </w:rPr>
                            </w:pPr>
                            <w:r>
                              <w:rPr>
                                <w:sz w:val="16"/>
                              </w:rPr>
                              <w:t>NOTIONAL</w:t>
                            </w:r>
                          </w:p>
                        </w:txbxContent>
                      </wps:txbx>
                      <wps:bodyPr anchor="t" lIns="91440" tIns="45720" rIns="91440" bIns="45720">
                        <a:noAutofit/>
                      </wps:bodyPr>
                    </wps:wsp>
                  </a:graphicData>
                </a:graphic>
              </wp:anchor>
            </w:drawing>
          </mc:Choice>
          <mc:Fallback>
            <w:pict>
              <v:rect fillcolor="#FFFFFF" strokecolor="#000000" strokeweight="0pt" style="position:absolute;rotation:-0;width:65.5pt;height:15.1pt;mso-wrap-distance-left:9.05pt;mso-wrap-distance-right:9.05pt;mso-wrap-distance-top:0pt;mso-wrap-distance-bottom:0pt;margin-top:41.6pt;mso-position-vertical-relative:text;margin-left:161.65pt;mso-position-horizontal-relative:text">
                <v:stroke dashstyle="dash"/>
                <v:textbox>
                  <w:txbxContent>
                    <w:p>
                      <w:pPr>
                        <w:pStyle w:val="Normal"/>
                        <w:jc w:val="center"/>
                        <w:rPr>
                          <w:sz w:val="16"/>
                        </w:rPr>
                      </w:pPr>
                      <w:r>
                        <w:rPr>
                          <w:sz w:val="16"/>
                        </w:rPr>
                        <w:t>NOTIONAL</w:t>
                      </w:r>
                    </w:p>
                  </w:txbxContent>
                </v:textbox>
                <w10:wrap type="none"/>
              </v:rect>
            </w:pict>
          </mc:Fallback>
        </mc:AlternateContent>
      </w:r>
    </w:p>
    <w:p>
      <w:pPr>
        <w:pStyle w:val="Normal"/>
        <w:jc w:val="both"/>
        <w:rPr>
          <w:lang w:val="en-CA"/>
        </w:rPr>
      </w:pPr>
      <w:r>
        <w:rPr>
          <w:lang w:val="en-CA"/>
        </w:rPr>
        <mc:AlternateContent>
          <mc:Choice Requires="wps">
            <w:drawing>
              <wp:anchor behindDoc="0" distT="0" distB="0" distL="114935" distR="114935" simplePos="0" locked="0" layoutInCell="1" allowOverlap="1" relativeHeight="30">
                <wp:simplePos x="0" y="0"/>
                <wp:positionH relativeFrom="column">
                  <wp:posOffset>1783080</wp:posOffset>
                </wp:positionH>
                <wp:positionV relativeFrom="paragraph">
                  <wp:posOffset>168910</wp:posOffset>
                </wp:positionV>
                <wp:extent cx="1463040" cy="0"/>
                <wp:effectExtent l="0" t="38100" r="0" b="38100"/>
                <wp:wrapNone/>
                <wp:docPr id="3" name=""/>
                <a:graphic xmlns:a="http://schemas.openxmlformats.org/drawingml/2006/main">
                  <a:graphicData uri="http://schemas.microsoft.com/office/word/2010/wordprocessingShape">
                    <wps:wsp>
                      <wps:cNvSpPr/>
                      <wps:spPr>
                        <a:xfrm>
                          <a:off x="0" y="0"/>
                          <a:ext cx="14630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0.4pt,13.3pt" to="255.55pt,13.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1783080</wp:posOffset>
                </wp:positionH>
                <wp:positionV relativeFrom="paragraph">
                  <wp:posOffset>351790</wp:posOffset>
                </wp:positionV>
                <wp:extent cx="1463040" cy="0"/>
                <wp:effectExtent l="0" t="38100" r="0" b="38100"/>
                <wp:wrapNone/>
                <wp:docPr id="4" name=""/>
                <a:graphic xmlns:a="http://schemas.openxmlformats.org/drawingml/2006/main">
                  <a:graphicData uri="http://schemas.microsoft.com/office/word/2010/wordprocessingShape">
                    <wps:wsp>
                      <wps:cNvSpPr/>
                      <wps:spPr>
                        <a:xfrm flipH="1">
                          <a:off x="0" y="0"/>
                          <a:ext cx="1463040" cy="0"/>
                        </a:xfrm>
                        <a:prstGeom prst="line">
                          <a:avLst/>
                        </a:prstGeom>
                        <a:ln w="93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40.4pt,27.7pt" to="255.55pt,27.7pt" stroked="t" o:allowincell="f" style="position:absolute;flip:x">
                <v:stroke color="black" weight="9360" dashstyle="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
                <wp:simplePos x="0" y="0"/>
                <wp:positionH relativeFrom="column">
                  <wp:posOffset>2880360</wp:posOffset>
                </wp:positionH>
                <wp:positionV relativeFrom="paragraph">
                  <wp:posOffset>480060</wp:posOffset>
                </wp:positionV>
                <wp:extent cx="365760" cy="274320"/>
                <wp:effectExtent l="0" t="0" r="3175" b="3810"/>
                <wp:wrapNone/>
                <wp:docPr id="5" name=""/>
                <a:graphic xmlns:a="http://schemas.openxmlformats.org/drawingml/2006/main">
                  <a:graphicData uri="http://schemas.microsoft.com/office/word/2010/wordprocessingShape">
                    <wps:wsp>
                      <wps:cNvSpPr/>
                      <wps:spPr>
                        <a:xfrm flipH="1" flipV="1">
                          <a:off x="0" y="0"/>
                          <a:ext cx="36576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6.8pt,37.8pt" to="255.55pt,59.35pt" stroked="t" o:allowincell="f" style="position:absolute;flip:x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8">
                <wp:simplePos x="0" y="0"/>
                <wp:positionH relativeFrom="column">
                  <wp:posOffset>401955</wp:posOffset>
                </wp:positionH>
                <wp:positionV relativeFrom="paragraph">
                  <wp:posOffset>67945</wp:posOffset>
                </wp:positionV>
                <wp:extent cx="1390650" cy="384810"/>
                <wp:effectExtent l="0" t="0" r="0" b="0"/>
                <wp:wrapNone/>
                <wp:docPr id="6" name="Frame4"/>
                <a:graphic xmlns:a="http://schemas.openxmlformats.org/drawingml/2006/main">
                  <a:graphicData uri="http://schemas.microsoft.com/office/word/2010/wordprocessingShape">
                    <wps:wsp>
                      <wps:cNvSpPr txBox="1"/>
                      <wps:spPr>
                        <a:xfrm>
                          <a:off x="0" y="0"/>
                          <a:ext cx="1390650" cy="384810"/>
                        </a:xfrm>
                        <a:prstGeom prst="rect"/>
                        <a:solidFill>
                          <a:srgbClr val="FFFFFF"/>
                        </a:solidFill>
                        <a:ln w="9525">
                          <a:solidFill>
                            <a:srgbClr val="000000"/>
                          </a:solidFill>
                        </a:ln>
                      </wps:spPr>
                      <wps:txbx>
                        <w:txbxContent>
                          <w:p>
                            <w:pPr>
                              <w:pStyle w:val="Normal"/>
                              <w:jc w:val="center"/>
                              <w:rPr>
                                <w:sz w:val="28"/>
                              </w:rPr>
                            </w:pPr>
                            <w:r>
                              <w:rPr>
                                <w:sz w:val="28"/>
                              </w:rPr>
                              <w:t>Buyer</w:t>
                            </w:r>
                          </w:p>
                        </w:txbxContent>
                      </wps:txbx>
                      <wps:bodyPr anchor="t" lIns="91440" tIns="82550" rIns="91440" bIns="45720">
                        <a:noAutofit/>
                      </wps:bodyPr>
                    </wps:wsp>
                  </a:graphicData>
                </a:graphic>
              </wp:anchor>
            </w:drawing>
          </mc:Choice>
          <mc:Fallback>
            <w:pict>
              <v:rect fillcolor="#FFFFFF" strokecolor="#000000" strokeweight="0pt" style="position:absolute;rotation:-0;width:109.5pt;height:30.3pt;mso-wrap-distance-left:9.05pt;mso-wrap-distance-right:9.05pt;mso-wrap-distance-top:0pt;mso-wrap-distance-bottom:0pt;margin-top:5.35pt;mso-position-vertical-relative:text;margin-left:31.65pt;mso-position-horizontal-relative:text">
                <v:textbox inset="0.1in,0.0902777777777778in">
                  <w:txbxContent>
                    <w:p>
                      <w:pPr>
                        <w:pStyle w:val="Normal"/>
                        <w:jc w:val="center"/>
                        <w:rPr>
                          <w:sz w:val="28"/>
                        </w:rPr>
                      </w:pPr>
                      <w:r>
                        <w:rPr>
                          <w:sz w:val="28"/>
                        </w:rPr>
                        <w:t>Buyer</w:t>
                      </w:r>
                    </w:p>
                  </w:txbxContent>
                </v:textbox>
                <w10:wrap type="none"/>
              </v:rect>
            </w:pict>
          </mc:Fallback>
        </mc:AlternateContent>
      </w:r>
      <w:r>
        <mc:AlternateContent>
          <mc:Choice Requires="wps">
            <w:drawing>
              <wp:anchor behindDoc="0" distT="0" distB="0" distL="114935" distR="114935" simplePos="0" locked="0" layoutInCell="1" allowOverlap="1" relativeHeight="29">
                <wp:simplePos x="0" y="0"/>
                <wp:positionH relativeFrom="column">
                  <wp:posOffset>3236595</wp:posOffset>
                </wp:positionH>
                <wp:positionV relativeFrom="paragraph">
                  <wp:posOffset>67945</wp:posOffset>
                </wp:positionV>
                <wp:extent cx="1390650" cy="384810"/>
                <wp:effectExtent l="0" t="0" r="0" b="0"/>
                <wp:wrapNone/>
                <wp:docPr id="7" name="Frame5"/>
                <a:graphic xmlns:a="http://schemas.openxmlformats.org/drawingml/2006/main">
                  <a:graphicData uri="http://schemas.microsoft.com/office/word/2010/wordprocessingShape">
                    <wps:wsp>
                      <wps:cNvSpPr txBox="1"/>
                      <wps:spPr>
                        <a:xfrm>
                          <a:off x="0" y="0"/>
                          <a:ext cx="1390650" cy="384810"/>
                        </a:xfrm>
                        <a:prstGeom prst="rect"/>
                        <a:solidFill>
                          <a:srgbClr val="FFFFFF"/>
                        </a:solidFill>
                        <a:ln w="9525">
                          <a:solidFill>
                            <a:srgbClr val="000000"/>
                          </a:solidFill>
                        </a:ln>
                      </wps:spPr>
                      <wps:txbx>
                        <w:txbxContent>
                          <w:p>
                            <w:pPr>
                              <w:pStyle w:val="Heading3"/>
                              <w:ind w:hanging="0" w:start="0"/>
                              <w:rPr/>
                            </w:pPr>
                            <w:r>
                              <w:rPr/>
                              <w:t>Seller</w:t>
                            </w:r>
                          </w:p>
                        </w:txbxContent>
                      </wps:txbx>
                      <wps:bodyPr anchor="t" lIns="91440" tIns="82550" rIns="91440" bIns="45720">
                        <a:noAutofit/>
                      </wps:bodyPr>
                    </wps:wsp>
                  </a:graphicData>
                </a:graphic>
              </wp:anchor>
            </w:drawing>
          </mc:Choice>
          <mc:Fallback>
            <w:pict>
              <v:rect fillcolor="#FFFFFF" strokecolor="#000000" strokeweight="0pt" style="position:absolute;rotation:-0;width:109.5pt;height:30.3pt;mso-wrap-distance-left:9.05pt;mso-wrap-distance-right:9.05pt;mso-wrap-distance-top:0pt;mso-wrap-distance-bottom:0pt;margin-top:5.35pt;mso-position-vertical-relative:text;margin-left:254.85pt;mso-position-horizontal-relative:text">
                <v:textbox inset="0.1in,0.0902777777777778in">
                  <w:txbxContent>
                    <w:p>
                      <w:pPr>
                        <w:pStyle w:val="Heading3"/>
                        <w:ind w:hanging="0" w:start="0"/>
                        <w:rPr/>
                      </w:pPr>
                      <w:r>
                        <w:rPr/>
                        <w:t>Seller</w:t>
                      </w:r>
                    </w:p>
                  </w:txbxContent>
                </v:textbox>
                <w10:wrap type="none"/>
              </v:rect>
            </w:pict>
          </mc:Fallback>
        </mc:AlternateContent>
      </w:r>
      <w:r>
        <mc:AlternateContent>
          <mc:Choice Requires="wps">
            <w:drawing>
              <wp:anchor behindDoc="0" distT="0" distB="0" distL="114935" distR="114935" simplePos="0" locked="0" layoutInCell="1" allowOverlap="1" relativeHeight="34">
                <wp:simplePos x="0" y="0"/>
                <wp:positionH relativeFrom="column">
                  <wp:posOffset>3236595</wp:posOffset>
                </wp:positionH>
                <wp:positionV relativeFrom="paragraph">
                  <wp:posOffset>653415</wp:posOffset>
                </wp:positionV>
                <wp:extent cx="1390650" cy="293370"/>
                <wp:effectExtent l="0" t="0" r="0" b="0"/>
                <wp:wrapNone/>
                <wp:docPr id="8" name="Frame3"/>
                <a:graphic xmlns:a="http://schemas.openxmlformats.org/drawingml/2006/main">
                  <a:graphicData uri="http://schemas.microsoft.com/office/word/2010/wordprocessingShape">
                    <wps:wsp>
                      <wps:cNvSpPr txBox="1"/>
                      <wps:spPr>
                        <a:xfrm>
                          <a:off x="0" y="0"/>
                          <a:ext cx="1390650" cy="293370"/>
                        </a:xfrm>
                        <a:prstGeom prst="rect"/>
                        <a:solidFill>
                          <a:srgbClr val="FFFFFF"/>
                        </a:solidFill>
                        <a:ln w="9525">
                          <a:solidFill>
                            <a:srgbClr val="000000"/>
                          </a:solidFill>
                        </a:ln>
                      </wps:spPr>
                      <wps:txbx>
                        <w:txbxContent>
                          <w:p>
                            <w:pPr>
                              <w:pStyle w:val="Heading3"/>
                              <w:ind w:hanging="0" w:start="0"/>
                              <w:rPr>
                                <w:i/>
                                <w:i/>
                                <w:sz w:val="24"/>
                              </w:rPr>
                            </w:pPr>
                            <w:r>
                              <w:rPr>
                                <w:i/>
                                <w:sz w:val="24"/>
                              </w:rPr>
                              <w:t>Reference Entity</w:t>
                            </w:r>
                          </w:p>
                        </w:txbxContent>
                      </wps:txbx>
                      <wps:bodyPr anchor="t" lIns="91440" tIns="46990" rIns="91440" bIns="45720">
                        <a:noAutofit/>
                      </wps:bodyPr>
                    </wps:wsp>
                  </a:graphicData>
                </a:graphic>
              </wp:anchor>
            </w:drawing>
          </mc:Choice>
          <mc:Fallback>
            <w:pict>
              <v:rect fillcolor="#FFFFFF" strokecolor="#000000" strokeweight="0pt" style="position:absolute;rotation:-0;width:109.5pt;height:23.1pt;mso-wrap-distance-left:9.05pt;mso-wrap-distance-right:9.05pt;mso-wrap-distance-top:0pt;mso-wrap-distance-bottom:0pt;margin-top:51.45pt;mso-position-vertical-relative:text;margin-left:254.85pt;mso-position-horizontal-relative:text">
                <v:textbox inset="0.1in,0.0513888888888889in">
                  <w:txbxContent>
                    <w:p>
                      <w:pPr>
                        <w:pStyle w:val="Heading3"/>
                        <w:ind w:hanging="0" w:start="0"/>
                        <w:rPr>
                          <w:i/>
                          <w:i/>
                          <w:sz w:val="24"/>
                        </w:rPr>
                      </w:pPr>
                      <w:r>
                        <w:rPr>
                          <w:i/>
                          <w:sz w:val="24"/>
                        </w:rPr>
                        <w:t>Reference Entity</w:t>
                      </w:r>
                    </w:p>
                  </w:txbxContent>
                </v:textbox>
                <w10:wrap type="none"/>
              </v:rect>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2"/>
        <w:ind w:hanging="0" w:start="0"/>
        <w:jc w:val="both"/>
        <w:rPr>
          <w:b w:val="false"/>
        </w:rPr>
      </w:pPr>
      <w:r>
        <w:rPr>
          <w:b w:val="false"/>
        </w:rPr>
        <w:t>The product allows the buyer to hedge an existing credit exposure on their books with the reference entity, possibly freeing up lines for further transactions. This enables an efficient transfer of bankruptcy risk, allowing the buyer to concentrate on their core business.</w:t>
      </w:r>
    </w:p>
    <w:p>
      <w:pPr>
        <w:pStyle w:val="Heading2"/>
        <w:ind w:hanging="0" w:start="0"/>
        <w:jc w:val="both"/>
        <w:rPr>
          <w:b w:val="false"/>
        </w:rPr>
      </w:pPr>
      <w:r>
        <w:rPr>
          <w:b w:val="false"/>
        </w:rPr>
      </w:r>
    </w:p>
    <w:p>
      <w:pPr>
        <w:pStyle w:val="Normal"/>
        <w:rPr/>
      </w:pPr>
      <w:r>
        <w:rPr/>
      </w:r>
      <w:r>
        <w:br w:type="page"/>
      </w:r>
    </w:p>
    <w:p>
      <w:pPr>
        <w:pStyle w:val="Heading2"/>
        <w:ind w:hanging="0" w:start="0"/>
        <w:jc w:val="both"/>
        <w:rPr>
          <w:b w:val="false"/>
        </w:rPr>
      </w:pPr>
      <w:r>
        <w:rPr/>
        <w:t>3.</w:t>
        <w:tab/>
        <w:t>COUNTERPARTY CREDIT RISK</w:t>
      </w:r>
    </w:p>
    <w:p>
      <w:pPr>
        <w:pStyle w:val="Normal"/>
        <w:jc w:val="both"/>
        <w:rPr>
          <w:b/>
        </w:rPr>
      </w:pPr>
      <w:r>
        <w:rPr>
          <w:b/>
        </w:rPr>
      </w:r>
    </w:p>
    <w:p>
      <w:pPr>
        <w:pStyle w:val="Normal"/>
        <w:jc w:val="both"/>
        <w:rPr/>
      </w:pPr>
      <w:r>
        <w:rPr/>
        <w:t>To accurately price the swap, we should incorporate the risk of our counterparty defaulting during the contract and being unable to fulfil their obligations. With a normal commodity swap, a credit reserve is taken and the deal then treated as riskfree</w:t>
      </w:r>
      <w:r>
        <w:rPr>
          <w:rStyle w:val="FootnoteCharacters"/>
          <w:rStyle w:val="FootnoteReference"/>
        </w:rPr>
        <w:footnoteReference w:id="2"/>
      </w:r>
      <w:r>
        <w:rPr/>
        <w:t xml:space="preserve">. We also assume that the counterparty’s credit risk is uncorrelated with the underlying deal value. However with a bankruptcy swap, the counterparty and reference entity’s credit risks may be correlated, leading to default risk increasing as the exposure grows. To model this additional risk requires a more sophisticated measure, incorporating default correlation. </w:t>
      </w:r>
    </w:p>
    <w:p>
      <w:pPr>
        <w:pStyle w:val="Normal"/>
        <w:jc w:val="both"/>
        <w:rPr/>
      </w:pPr>
      <w:r>
        <w:rPr/>
      </w:r>
    </w:p>
    <w:p>
      <w:pPr>
        <w:pStyle w:val="Normal"/>
        <w:jc w:val="both"/>
        <w:rPr/>
      </w:pPr>
      <w:r>
        <w:rPr/>
        <w:t>Our aim is to offer firm two-way prices online, which forces the same price to be quoted to every counterparty. This leads us to three possibilities – we could either price aggressively, and ignore counterparty credit risk entirely; price conservatively and assume for each reference entity a “worst case” counterparty; or simply price each reference entity using a generic “average” counterparty. Given this price, we can then set aside a credit reserve and continue as if the deal was riskfree, or keep track of both reference entity and counterparty credit standing and mark-to-market based upon changes in both.</w:t>
      </w:r>
    </w:p>
    <w:p>
      <w:pPr>
        <w:pStyle w:val="Normal"/>
        <w:jc w:val="both"/>
        <w:rPr/>
      </w:pPr>
      <w:r>
        <w:rPr/>
      </w:r>
    </w:p>
    <w:p>
      <w:pPr>
        <w:pStyle w:val="Normal"/>
        <w:jc w:val="both"/>
        <w:rPr/>
      </w:pPr>
      <w:r>
        <w:rPr/>
        <w:t>At the outset we will likely ignore the counterparty credit risk, thus being aggressive with our pricing. So long as limits are established, and counterparties are sufficiently creditworthy, this should not create a severe risk. The remainder of this discussion makes this assumption.</w:t>
      </w:r>
    </w:p>
    <w:p>
      <w:pPr>
        <w:pStyle w:val="Heading2"/>
        <w:ind w:hanging="0" w:start="0"/>
        <w:jc w:val="both"/>
        <w:rPr/>
      </w:pPr>
      <w:r>
        <w:rPr/>
      </w:r>
    </w:p>
    <w:p>
      <w:pPr>
        <w:pStyle w:val="Normal"/>
        <w:rPr/>
      </w:pPr>
      <w:r>
        <w:rPr/>
      </w:r>
    </w:p>
    <w:p>
      <w:pPr>
        <w:pStyle w:val="Heading2"/>
        <w:ind w:hanging="0" w:start="0"/>
        <w:jc w:val="both"/>
        <w:rPr/>
      </w:pPr>
      <w:r>
        <w:rPr/>
        <w:t>4.</w:t>
        <w:tab/>
        <w:t>BANKRUPTCY SWAP PRICING</w:t>
      </w:r>
    </w:p>
    <w:p>
      <w:pPr>
        <w:pStyle w:val="Normal"/>
        <w:jc w:val="both"/>
        <w:rPr/>
      </w:pPr>
      <w:r>
        <w:rPr/>
      </w:r>
    </w:p>
    <w:p>
      <w:pPr>
        <w:pStyle w:val="Normal"/>
        <w:jc w:val="both"/>
        <w:rPr/>
      </w:pPr>
      <w:r>
        <w:rPr/>
        <w:t>To price the credit derivative we must first assume market completeness, to give us the existence of a price, and the absence of arbitrage opportunities, to make the price unique. Given this, the price of the credit derivative is the risk-neutral expected payoff. Initially we shall express this price is as a lump-sum premium, paid upfront:</w:t>
      </w:r>
    </w:p>
    <w:p>
      <w:pPr>
        <w:pStyle w:val="Normal"/>
        <w:jc w:val="both"/>
        <w:rPr/>
      </w:pPr>
      <w:r>
        <w:rPr/>
      </w:r>
    </w:p>
    <w:p>
      <w:pPr>
        <w:pStyle w:val="Normal"/>
        <w:ind w:firstLine="720" w:end="0"/>
        <w:jc w:val="both"/>
        <w:rPr/>
      </w:pPr>
      <w:r>
        <w:rPr/>
      </w:r>
      <m:oMath xmlns:m="http://schemas.openxmlformats.org/officeDocument/2006/math">
        <m:r>
          <m:rPr>
            <m:lit/>
            <m:nor/>
          </m:rPr>
          <m:t xml:space="preserve">Price</m:t>
        </m:r>
        <m:r>
          <m:t xml:space="preserve">=</m:t>
        </m:r>
        <m:r>
          <m:t xml:space="preserve">E</m:t>
        </m:r>
        <m:r>
          <m:t xml:space="preserve">(</m:t>
        </m:r>
        <m:r>
          <m:rPr>
            <m:lit/>
            <m:nor/>
          </m:rPr>
          <m:t xml:space="preserve">payoff</m:t>
        </m:r>
        <m:r>
          <m:t xml:space="preserve">)</m:t>
        </m:r>
        <m:r>
          <m:t xml:space="preserve">=</m:t>
        </m:r>
        <m:nary>
          <m:naryPr>
            <m:chr m:val="∑"/>
          </m:naryPr>
          <m:sub>
            <m:r>
              <m:t xml:space="preserve">t</m:t>
            </m:r>
            <m:r>
              <m:t xml:space="preserve">=</m:t>
            </m:r>
            <m:r>
              <m:t xml:space="preserve">1</m:t>
            </m:r>
          </m:sub>
          <m:sup>
            <m:r>
              <m:t xml:space="preserve">T</m:t>
            </m:r>
          </m:sup>
          <m:e>
            <m:r>
              <m:t xml:space="preserve">P</m:t>
            </m:r>
            <m:r>
              <m:t xml:space="preserve">(</m:t>
            </m:r>
            <m:r>
              <m:rPr>
                <m:lit/>
                <m:nor/>
              </m:rPr>
              <m:t xml:space="preserve">payment at t</m:t>
            </m:r>
            <m:r>
              <m:t xml:space="preserve">)</m:t>
            </m:r>
            <m:r>
              <m:t xml:space="preserve">×</m:t>
            </m:r>
            <m:r>
              <m:rPr>
                <m:lit/>
                <m:nor/>
              </m:rPr>
              <m:t xml:space="preserve">DF</m:t>
            </m:r>
            <m:r>
              <m:t xml:space="preserve">(</m:t>
            </m:r>
            <m:r>
              <m:t xml:space="preserve">t</m:t>
            </m:r>
            <m:r>
              <m:t xml:space="preserve">)</m:t>
            </m:r>
            <m:r>
              <m:t xml:space="preserve">×</m:t>
            </m:r>
            <m:r>
              <m:rPr>
                <m:lit/>
                <m:nor/>
              </m:rPr>
              <m:t xml:space="preserve">Notional</m:t>
            </m:r>
          </m:e>
        </m:nary>
      </m:oMath>
      <w:r>
        <w:rPr/>
        <w:tab/>
        <w:tab/>
        <w:t>(1)</w:t>
      </w:r>
    </w:p>
    <w:p>
      <w:pPr>
        <w:pStyle w:val="Normal"/>
        <w:jc w:val="both"/>
        <w:rPr/>
      </w:pPr>
      <w:r>
        <w:rPr/>
      </w:r>
    </w:p>
    <w:p>
      <w:pPr>
        <w:pStyle w:val="Normal"/>
        <w:jc w:val="both"/>
        <w:rPr/>
      </w:pPr>
      <w:r>
        <w:rPr/>
        <w:t xml:space="preserve">where </w:t>
      </w:r>
      <w:r>
        <w:rPr>
          <w:i/>
        </w:rPr>
        <w:t>T</w:t>
      </w:r>
      <w:r>
        <w:rPr/>
        <w:t xml:space="preserve"> is the number of periods the swap covers and </w:t>
      </w:r>
      <w:r>
        <w:rPr>
          <w:i/>
        </w:rPr>
        <w:t>DF</w:t>
      </w:r>
      <w:r>
        <w:rPr/>
        <w:t>(</w:t>
      </w:r>
      <w:r>
        <w:rPr>
          <w:i/>
        </w:rPr>
        <w:t>t</w:t>
      </w:r>
      <w:r>
        <w:rPr/>
        <w:t xml:space="preserve">) is the relevant discount factor at time </w:t>
      </w:r>
      <w:r>
        <w:rPr>
          <w:i/>
        </w:rPr>
        <w:t>t</w:t>
      </w:r>
      <w:r>
        <w:rPr/>
        <w:t xml:space="preserve">. The expectation and probabilities are under the risk-neutral probability measure. </w:t>
      </w:r>
    </w:p>
    <w:p>
      <w:pPr>
        <w:pStyle w:val="Normal"/>
        <w:jc w:val="both"/>
        <w:rPr/>
      </w:pPr>
      <w:r>
        <w:rPr/>
      </w:r>
    </w:p>
    <w:p>
      <w:pPr>
        <w:pStyle w:val="Normal"/>
        <w:jc w:val="both"/>
        <w:rPr/>
      </w:pPr>
      <w:r>
        <w:rPr/>
        <w:t xml:space="preserve">Payment will occur at time </w:t>
      </w:r>
      <w:r>
        <w:rPr>
          <w:i/>
        </w:rPr>
        <w:t>t</w:t>
      </w:r>
      <w:r>
        <w:rPr/>
        <w:t xml:space="preserve"> if bankruptcy occurs at time </w:t>
      </w:r>
      <w:r>
        <w:rPr>
          <w:i/>
        </w:rPr>
        <w:t>t</w:t>
      </w:r>
      <w:r>
        <w:rPr/>
        <w:t xml:space="preserve">, and not before. The probability of this event is the probability of bankruptcy at time </w:t>
      </w:r>
      <w:r>
        <w:rPr>
          <w:i/>
        </w:rPr>
        <w:t>t</w:t>
      </w:r>
      <w:r>
        <w:rPr/>
        <w:t xml:space="preserve">, conditional only upon the information we possess today. We call this the </w:t>
      </w:r>
      <w:r>
        <w:rPr>
          <w:i/>
        </w:rPr>
        <w:t xml:space="preserve">unconditional </w:t>
      </w:r>
      <w:r>
        <w:rPr/>
        <w:t>default</w:t>
      </w:r>
      <w:r>
        <w:rPr>
          <w:rStyle w:val="FootnoteCharacters"/>
          <w:rStyle w:val="FootnoteReference"/>
        </w:rPr>
        <w:footnoteReference w:id="3"/>
      </w:r>
      <w:r>
        <w:rPr/>
        <w:t xml:space="preserve"> probability</w:t>
      </w:r>
      <w:r>
        <w:rPr>
          <w:i/>
        </w:rPr>
        <w:t xml:space="preserve"> d</w:t>
      </w:r>
      <w:r>
        <w:rPr/>
        <w:t>(</w:t>
      </w:r>
      <w:r>
        <w:rPr>
          <w:i/>
        </w:rPr>
        <w:t>t</w:t>
      </w:r>
      <w:r>
        <w:rPr/>
        <w:t xml:space="preserve">). This differs from the </w:t>
      </w:r>
      <w:r>
        <w:rPr>
          <w:i/>
        </w:rPr>
        <w:t>marginal</w:t>
      </w:r>
      <w:r>
        <w:rPr/>
        <w:t xml:space="preserve"> probability </w:t>
      </w:r>
      <w:r>
        <w:rPr>
          <w:i/>
        </w:rPr>
        <w:t>md</w:t>
      </w:r>
      <w:r>
        <w:rPr/>
        <w:t>(</w:t>
      </w:r>
      <w:r>
        <w:rPr>
          <w:i/>
        </w:rPr>
        <w:t>t</w:t>
      </w:r>
      <w:r>
        <w:rPr/>
        <w:t xml:space="preserve">), which is the probability of bankruptcy at time </w:t>
      </w:r>
      <w:r>
        <w:rPr>
          <w:i/>
        </w:rPr>
        <w:t>t</w:t>
      </w:r>
      <w:r>
        <w:rPr/>
        <w:t xml:space="preserve">, given that bankruptcy has not previously occurred; and the </w:t>
      </w:r>
      <w:r>
        <w:rPr>
          <w:i/>
        </w:rPr>
        <w:t>cumulative</w:t>
      </w:r>
      <w:r>
        <w:rPr/>
        <w:t xml:space="preserve"> probability </w:t>
      </w:r>
      <w:r>
        <w:rPr>
          <w:i/>
        </w:rPr>
        <w:t>cd</w:t>
      </w:r>
      <w:r>
        <w:rPr/>
        <w:t>(</w:t>
      </w:r>
      <w:r>
        <w:rPr>
          <w:i/>
        </w:rPr>
        <w:t>t)</w:t>
      </w:r>
      <w:r>
        <w:rPr/>
        <w:t xml:space="preserve">, which is the probability that bankruptcy has occurred at any time between today and </w:t>
      </w:r>
      <w:r>
        <w:rPr>
          <w:i/>
        </w:rPr>
        <w:t>t</w:t>
      </w:r>
      <w:r>
        <w:rPr/>
        <w:t>. These probabilities are related as follows:</w:t>
      </w:r>
    </w:p>
    <w:p>
      <w:pPr>
        <w:pStyle w:val="Normal"/>
        <w:jc w:val="both"/>
        <w:rPr/>
      </w:pPr>
      <w:r>
        <w:rPr/>
      </w:r>
    </w:p>
    <w:p>
      <w:pPr>
        <w:pStyle w:val="Normal"/>
        <w:jc w:val="both"/>
        <w:rPr/>
      </w:pPr>
      <w:r>
        <w:rPr/>
        <w:tab/>
        <w:tab/>
      </w:r>
      <w:r>
        <w:rPr>
          <w:i/>
          <w:sz w:val="24"/>
        </w:rPr>
        <w:t>d</w:t>
      </w:r>
      <w:r>
        <w:rPr>
          <w:sz w:val="24"/>
        </w:rPr>
        <w:t>(</w:t>
      </w:r>
      <w:r>
        <w:rPr>
          <w:i/>
          <w:sz w:val="24"/>
        </w:rPr>
        <w:t>t</w:t>
      </w:r>
      <w:r>
        <w:rPr>
          <w:sz w:val="24"/>
        </w:rPr>
        <w:t xml:space="preserve">) = </w:t>
      </w:r>
      <w:r>
        <w:rPr>
          <w:i/>
          <w:sz w:val="24"/>
        </w:rPr>
        <w:t>md</w:t>
      </w:r>
      <w:r>
        <w:rPr>
          <w:sz w:val="24"/>
        </w:rPr>
        <w:t>(</w:t>
      </w:r>
      <w:r>
        <w:rPr>
          <w:i/>
          <w:sz w:val="24"/>
        </w:rPr>
        <w:t>t</w:t>
      </w:r>
      <w:r>
        <w:rPr>
          <w:sz w:val="24"/>
        </w:rPr>
        <w:t>)</w:t>
      </w:r>
      <w:r>
        <w:rPr>
          <w:rFonts w:eastAsia="Symbol" w:cs="Symbol" w:ascii="Symbol" w:hAnsi="Symbol"/>
          <w:sz w:val="24"/>
        </w:rPr>
        <w:sym w:font="Symbol" w:char="f0b4"/>
      </w:r>
      <w:r>
        <w:rPr>
          <w:sz w:val="24"/>
        </w:rPr>
        <w:t>(1-</w:t>
      </w:r>
      <w:r>
        <w:rPr>
          <w:i/>
          <w:sz w:val="24"/>
        </w:rPr>
        <w:t>cd</w:t>
      </w:r>
      <w:r>
        <w:rPr>
          <w:sz w:val="24"/>
        </w:rPr>
        <w:t>(</w:t>
      </w:r>
      <w:r>
        <w:rPr>
          <w:i/>
          <w:sz w:val="24"/>
        </w:rPr>
        <w:t>t-</w:t>
      </w:r>
      <w:r>
        <w:rPr>
          <w:sz w:val="24"/>
        </w:rPr>
        <w:t>1))</w:t>
      </w:r>
    </w:p>
    <w:p>
      <w:pPr>
        <w:pStyle w:val="Normal"/>
        <w:jc w:val="both"/>
        <w:rPr/>
      </w:pPr>
      <w:r>
        <w:rPr/>
        <w:t>and</w:t>
        <w:tab/>
        <w:tab/>
      </w:r>
      <w:r>
        <w:rPr>
          <w:i/>
          <w:sz w:val="24"/>
        </w:rPr>
        <w:t>td</w:t>
      </w:r>
      <w:r>
        <w:rPr>
          <w:sz w:val="24"/>
        </w:rPr>
        <w:t>(</w:t>
      </w:r>
      <w:r>
        <w:rPr>
          <w:i/>
          <w:sz w:val="24"/>
        </w:rPr>
        <w:t>t</w:t>
      </w:r>
      <w:r>
        <w:rPr>
          <w:sz w:val="24"/>
        </w:rPr>
        <w:t xml:space="preserve">) = </w:t>
      </w:r>
      <w:r>
        <w:rPr>
          <w:i/>
          <w:sz w:val="24"/>
        </w:rPr>
        <w:t>cd</w:t>
      </w:r>
      <w:r>
        <w:rPr>
          <w:sz w:val="24"/>
        </w:rPr>
        <w:t>(</w:t>
      </w:r>
      <w:r>
        <w:rPr>
          <w:i/>
          <w:sz w:val="24"/>
        </w:rPr>
        <w:t>t</w:t>
      </w:r>
      <w:r>
        <w:rPr>
          <w:sz w:val="24"/>
        </w:rPr>
        <w:t>)-</w:t>
      </w:r>
      <w:r>
        <w:rPr>
          <w:i/>
          <w:sz w:val="24"/>
        </w:rPr>
        <w:t>cd</w:t>
      </w:r>
      <w:r>
        <w:rPr>
          <w:sz w:val="24"/>
        </w:rPr>
        <w:t>(</w:t>
      </w:r>
      <w:r>
        <w:rPr>
          <w:i/>
          <w:sz w:val="24"/>
        </w:rPr>
        <w:t>t</w:t>
      </w:r>
      <w:r>
        <w:rPr>
          <w:sz w:val="24"/>
        </w:rPr>
        <w:t>-1).</w:t>
      </w:r>
    </w:p>
    <w:p>
      <w:pPr>
        <w:pStyle w:val="Normal"/>
        <w:jc w:val="both"/>
        <w:rPr/>
      </w:pPr>
      <w:r>
        <w:rPr/>
      </w:r>
    </w:p>
    <w:p>
      <w:pPr>
        <w:pStyle w:val="Heading2"/>
        <w:ind w:hanging="0" w:start="0"/>
        <w:jc w:val="both"/>
        <w:rPr>
          <w:b w:val="false"/>
        </w:rPr>
      </w:pPr>
      <w:r>
        <w:rPr/>
        <w:t>4.1.</w:t>
        <w:tab/>
        <w:t>Upfront Premium</w:t>
      </w:r>
    </w:p>
    <w:p>
      <w:pPr>
        <w:pStyle w:val="Normal"/>
        <w:jc w:val="both"/>
        <w:rPr>
          <w:b/>
        </w:rPr>
      </w:pPr>
      <w:r>
        <w:rPr>
          <w:b/>
        </w:rPr>
      </w:r>
    </w:p>
    <w:p>
      <w:pPr>
        <w:pStyle w:val="BodyText"/>
        <w:rPr/>
      </w:pPr>
      <w:r>
        <w:rPr/>
        <w:t>When the premium is paid upfront, its value is calculated using equation (1) and the unconditional default probability:</w:t>
      </w:r>
    </w:p>
    <w:p>
      <w:pPr>
        <w:pStyle w:val="Normal"/>
        <w:jc w:val="both"/>
        <w:rPr/>
      </w:pPr>
      <w:r>
        <w:rPr/>
      </w:r>
    </w:p>
    <w:p>
      <w:pPr>
        <w:pStyle w:val="Normal"/>
        <w:jc w:val="both"/>
        <w:rPr/>
      </w:pPr>
      <w:r>
        <w:rPr/>
        <w:tab/>
      </w:r>
      <w:r>
        <w:rPr/>
      </w:r>
      <m:oMath xmlns:m="http://schemas.openxmlformats.org/officeDocument/2006/math">
        <m:r>
          <m:rPr>
            <m:lit/>
            <m:nor/>
          </m:rPr>
          <m:t xml:space="preserve">Premium</m:t>
        </m:r>
        <m:r>
          <m:t xml:space="preserve">=</m:t>
        </m:r>
        <m:nary>
          <m:naryPr>
            <m:chr m:val="∑"/>
          </m:naryPr>
          <m:sub>
            <m:r>
              <m:t xml:space="preserve">t</m:t>
            </m:r>
            <m:r>
              <m:t xml:space="preserve">=</m:t>
            </m:r>
            <m:r>
              <m:t xml:space="preserve">1</m:t>
            </m:r>
          </m:sub>
          <m:sup>
            <m:r>
              <m:t xml:space="preserve">T</m:t>
            </m:r>
          </m:sup>
          <m:e>
            <m:r>
              <m:t xml:space="preserve">d</m:t>
            </m:r>
            <m:r>
              <m:t xml:space="preserve">(</m:t>
            </m:r>
            <m:r>
              <m:t xml:space="preserve">t</m:t>
            </m:r>
            <m:r>
              <m:t xml:space="preserve">)</m:t>
            </m:r>
            <m:r>
              <m:t xml:space="preserve">×</m:t>
            </m:r>
            <m:r>
              <m:rPr>
                <m:lit/>
                <m:nor/>
              </m:rPr>
              <m:t xml:space="preserve">DF</m:t>
            </m:r>
            <m:r>
              <m:t xml:space="preserve">(</m:t>
            </m:r>
            <m:r>
              <m:t xml:space="preserve">t</m:t>
            </m:r>
            <m:r>
              <m:t xml:space="preserve">)</m:t>
            </m:r>
            <m:r>
              <m:t xml:space="preserve">×</m:t>
            </m:r>
            <m:r>
              <m:rPr>
                <m:lit/>
                <m:nor/>
              </m:rPr>
              <m:t xml:space="preserve">Notional</m:t>
            </m:r>
          </m:e>
        </m:nary>
      </m:oMath>
      <w:r>
        <w:rPr/>
        <w:tab/>
        <w:tab/>
        <w:tab/>
        <w:tab/>
        <w:tab/>
        <w:t>(2)</w:t>
      </w:r>
    </w:p>
    <w:p>
      <w:pPr>
        <w:pStyle w:val="Heading2"/>
        <w:ind w:hanging="0" w:start="0"/>
        <w:jc w:val="both"/>
        <w:rPr/>
      </w:pPr>
      <w:r>
        <w:rPr/>
      </w:r>
    </w:p>
    <w:p>
      <w:pPr>
        <w:pStyle w:val="Heading2"/>
        <w:ind w:hanging="0" w:start="0"/>
        <w:jc w:val="both"/>
        <w:rPr/>
      </w:pPr>
      <w:r>
        <w:rPr>
          <w:b w:val="false"/>
        </w:rPr>
        <w:t>Expressed as a basis point</w:t>
      </w:r>
      <w:r>
        <w:rPr>
          <w:rStyle w:val="FootnoteCharacters"/>
          <w:rStyle w:val="FootnoteReference"/>
          <w:b/>
        </w:rPr>
        <w:footnoteReference w:id="4"/>
      </w:r>
      <w:r>
        <w:rPr>
          <w:b w:val="false"/>
        </w:rPr>
        <w:t xml:space="preserve"> per annum price this becomes:</w:t>
      </w:r>
    </w:p>
    <w:p>
      <w:pPr>
        <w:pStyle w:val="Heading2"/>
        <w:ind w:hanging="0" w:start="0"/>
        <w:jc w:val="both"/>
        <w:rPr>
          <w:b w:val="false"/>
        </w:rPr>
      </w:pPr>
      <w:r>
        <w:rPr>
          <w:b w:val="false"/>
        </w:rPr>
      </w:r>
    </w:p>
    <w:p>
      <w:pPr>
        <w:pStyle w:val="Heading2"/>
        <w:ind w:hanging="0" w:start="0"/>
        <w:jc w:val="both"/>
        <w:rPr/>
      </w:pPr>
      <w:r>
        <w:rPr>
          <w:b w:val="false"/>
        </w:rPr>
        <w:tab/>
      </w:r>
      <w:r>
        <w:rPr/>
      </w:r>
      <m:oMath xmlns:m="http://schemas.openxmlformats.org/officeDocument/2006/math">
        <m:r>
          <m:rPr>
            <m:lit/>
            <m:nor/>
          </m:rPr>
          <m:t xml:space="preserve">Price</m:t>
        </m:r>
        <m:r>
          <m:t xml:space="preserve">(</m:t>
        </m:r>
        <m:r>
          <m:rPr>
            <m:lit/>
            <m:nor/>
          </m:rPr>
          <m:t xml:space="preserve">bps</m:t>
        </m:r>
        <m:r>
          <m:t xml:space="preserve">)</m:t>
        </m:r>
        <m:r>
          <m:t xml:space="preserve">=</m:t>
        </m:r>
        <m:f>
          <m:num>
            <m:r>
              <m:t xml:space="preserve">1</m:t>
            </m:r>
          </m:num>
          <m:den>
            <m:r>
              <m:t xml:space="preserve">N</m:t>
            </m:r>
          </m:den>
        </m:f>
        <m:nary>
          <m:naryPr>
            <m:chr m:val="∑"/>
          </m:naryPr>
          <m:sub>
            <m:r>
              <m:t xml:space="preserve">t</m:t>
            </m:r>
            <m:r>
              <m:t xml:space="preserve">=</m:t>
            </m:r>
            <m:r>
              <m:t xml:space="preserve">1</m:t>
            </m:r>
          </m:sub>
          <m:sup>
            <m:r>
              <m:t xml:space="preserve">T</m:t>
            </m:r>
          </m:sup>
          <m:e>
            <m:r>
              <m:t xml:space="preserve">d</m:t>
            </m:r>
            <m:r>
              <m:t xml:space="preserve">(</m:t>
            </m:r>
            <m:r>
              <m:t xml:space="preserve">t</m:t>
            </m:r>
            <m:r>
              <m:t xml:space="preserve">)</m:t>
            </m:r>
            <m:r>
              <m:t xml:space="preserve">×</m:t>
            </m:r>
            <m:r>
              <m:rPr>
                <m:lit/>
                <m:nor/>
              </m:rPr>
              <m:t xml:space="preserve">DF</m:t>
            </m:r>
            <m:r>
              <m:t xml:space="preserve">(</m:t>
            </m:r>
            <m:r>
              <m:t xml:space="preserve">t</m:t>
            </m:r>
            <m:r>
              <m:t xml:space="preserve">)</m:t>
            </m:r>
          </m:e>
        </m:nary>
      </m:oMath>
      <w:r>
        <w:rPr/>
        <w:tab/>
        <w:tab/>
        <w:tab/>
        <w:tab/>
        <w:tab/>
        <w:tab/>
      </w:r>
      <w:r>
        <w:rPr>
          <w:b w:val="false"/>
        </w:rPr>
        <w:t>(3)</w:t>
      </w:r>
    </w:p>
    <w:p>
      <w:pPr>
        <w:pStyle w:val="FootnoteText"/>
        <w:jc w:val="both"/>
        <w:rPr>
          <w:b/>
        </w:rPr>
      </w:pPr>
      <w:r>
        <w:rPr>
          <w:b/>
        </w:rPr>
      </w:r>
    </w:p>
    <w:p>
      <w:pPr>
        <w:pStyle w:val="Normal"/>
        <w:jc w:val="both"/>
        <w:rPr/>
      </w:pPr>
      <w:r>
        <w:rPr/>
        <w:t xml:space="preserve">where </w:t>
      </w:r>
      <w:r>
        <w:rPr>
          <w:i/>
        </w:rPr>
        <w:t xml:space="preserve">N </w:t>
      </w:r>
      <w:r>
        <w:rPr/>
        <w:t>is the swap tenor in years.</w:t>
      </w:r>
    </w:p>
    <w:p>
      <w:pPr>
        <w:pStyle w:val="Normal"/>
        <w:jc w:val="both"/>
        <w:rPr/>
      </w:pPr>
      <w:r>
        <w:rPr/>
      </w:r>
    </w:p>
    <w:p>
      <w:pPr>
        <w:pStyle w:val="Normal"/>
        <w:jc w:val="both"/>
        <w:rPr/>
      </w:pPr>
      <w:r>
        <w:rPr/>
        <w:t xml:space="preserve">In this formulation the bankruptcy swap price is simply the average default probability across the swap tenor, weighted by the discount factors. The weighting is critical as bankruptcy tomorrow will cost the seller more than bankruptcy in five years’ time, due to the time value of money. The price then depends upon discounted default probabilities, not just default probabilities. </w:t>
      </w:r>
    </w:p>
    <w:p>
      <w:pPr>
        <w:pStyle w:val="Normal"/>
        <w:jc w:val="both"/>
        <w:rPr/>
      </w:pPr>
      <w:r>
        <w:rPr/>
      </w:r>
    </w:p>
    <w:p>
      <w:pPr>
        <w:pStyle w:val="Heading2"/>
        <w:ind w:hanging="0" w:start="0"/>
        <w:jc w:val="both"/>
        <w:rPr/>
      </w:pPr>
      <w:r>
        <w:rPr/>
        <w:t>4.2.</w:t>
        <w:tab/>
        <w:t>Periodic Premium</w:t>
      </w:r>
    </w:p>
    <w:p>
      <w:pPr>
        <w:pStyle w:val="Normal"/>
        <w:jc w:val="both"/>
        <w:rPr/>
      </w:pPr>
      <w:r>
        <w:rPr/>
      </w:r>
    </w:p>
    <w:p>
      <w:pPr>
        <w:pStyle w:val="Normal"/>
        <w:jc w:val="both"/>
        <w:rPr/>
      </w:pPr>
      <w:r>
        <w:rPr/>
        <w:t xml:space="preserve">When the swap premium is paid throughout the life of the deal, the structure begins to look more like a traditional commodity swap. The only differences are that the payments cease once bankruptcy takes place, and the floating price is digital – either full notional or zero. This makes the premium subject to the default risk of the reference entity too. During each period </w:t>
      </w:r>
      <w:r>
        <w:rPr>
          <w:i/>
        </w:rPr>
        <w:t>t</w:t>
      </w:r>
      <w:r>
        <w:rPr/>
        <w:t xml:space="preserve"> the bankruptcy swap seller receives </w:t>
      </w:r>
      <w:r>
        <w:rPr>
          <w:i/>
        </w:rPr>
        <w:t>Price</w:t>
      </w:r>
      <w:r>
        <w:rPr/>
        <w:t>(</w:t>
      </w:r>
      <w:r>
        <w:rPr>
          <w:i/>
        </w:rPr>
        <w:t>bps</w:t>
      </w:r>
      <w:r>
        <w:rPr/>
        <w:t>)</w:t>
      </w:r>
      <w:r>
        <w:rPr>
          <w:rFonts w:eastAsia="Symbol" w:cs="Symbol" w:ascii="Symbol" w:hAnsi="Symbol"/>
        </w:rPr>
        <w:sym w:font="Symbol" w:char="f0b4"/>
      </w:r>
      <w:r>
        <w:rPr>
          <w:i/>
        </w:rPr>
        <w:t>Notional</w:t>
      </w:r>
      <w:r>
        <w:rPr/>
        <w:t xml:space="preserve"> so long as the reference entity has not bankrupted prior to </w:t>
      </w:r>
      <w:r>
        <w:rPr>
          <w:i/>
        </w:rPr>
        <w:t>t</w:t>
      </w:r>
      <w:r>
        <w:rPr/>
        <w:t>, which is of probability 1-</w:t>
      </w:r>
      <w:r>
        <w:rPr>
          <w:i/>
        </w:rPr>
        <w:t>cd</w:t>
      </w:r>
      <w:r>
        <w:rPr/>
        <w:t>(</w:t>
      </w:r>
      <w:r>
        <w:rPr>
          <w:i/>
        </w:rPr>
        <w:t>t</w:t>
      </w:r>
      <w:r>
        <w:rPr/>
        <w:t xml:space="preserve">-1). The seller will receive nothing if bankruptcy has already occurred, which has probability </w:t>
      </w:r>
      <w:r>
        <w:rPr>
          <w:i/>
        </w:rPr>
        <w:t>cd</w:t>
      </w:r>
      <w:r>
        <w:rPr/>
        <w:t>(</w:t>
      </w:r>
      <w:r>
        <w:rPr>
          <w:i/>
        </w:rPr>
        <w:t>t</w:t>
      </w:r>
      <w:r>
        <w:rPr/>
        <w:t xml:space="preserve">-1). </w:t>
      </w:r>
    </w:p>
    <w:p>
      <w:pPr>
        <w:pStyle w:val="Normal"/>
        <w:jc w:val="both"/>
        <w:rPr/>
      </w:pPr>
      <w:r>
        <w:rPr/>
      </w:r>
    </w:p>
    <w:p>
      <w:pPr>
        <w:pStyle w:val="Normal"/>
        <w:jc w:val="both"/>
        <w:rPr/>
      </w:pPr>
      <w:r>
        <w:rPr/>
        <w:t>The risk-neutral expected net present value of the seller’s income is calculated as:</w:t>
      </w:r>
    </w:p>
    <w:p>
      <w:pPr>
        <w:pStyle w:val="Normal"/>
        <w:jc w:val="both"/>
        <w:rPr/>
      </w:pPr>
      <w:r>
        <w:rPr/>
      </w:r>
    </w:p>
    <w:p>
      <w:pPr>
        <w:pStyle w:val="Normal"/>
        <w:ind w:firstLine="720" w:end="0"/>
        <w:jc w:val="both"/>
        <w:rPr/>
      </w:pPr>
      <w:r>
        <w:rPr/>
      </w:r>
      <m:oMath xmlns:m="http://schemas.openxmlformats.org/officeDocument/2006/math">
        <m:r>
          <m:t xml:space="preserve">E</m:t>
        </m:r>
        <m:r>
          <m:t xml:space="preserve">(</m:t>
        </m:r>
        <m:r>
          <m:rPr>
            <m:lit/>
            <m:nor/>
          </m:rPr>
          <m:t xml:space="preserve">cashflows</m:t>
        </m:r>
        <m:r>
          <m:t xml:space="preserve">)</m:t>
        </m:r>
        <m:r>
          <m:t xml:space="preserve">=</m:t>
        </m:r>
        <m:nary>
          <m:naryPr>
            <m:chr m:val="∑"/>
          </m:naryPr>
          <m:sub>
            <m:r>
              <m:t xml:space="preserve">t</m:t>
            </m:r>
            <m:r>
              <m:t xml:space="preserve">=</m:t>
            </m:r>
            <m:r>
              <m:t xml:space="preserve">1</m:t>
            </m:r>
          </m:sub>
          <m:sup>
            <m:r>
              <m:t xml:space="preserve">T</m:t>
            </m:r>
          </m:sup>
          <m:e>
            <m:r>
              <m:t xml:space="preserve">(</m:t>
            </m:r>
            <m:r>
              <m:t xml:space="preserve">1</m:t>
            </m:r>
            <m:r>
              <m:t xml:space="preserve">−</m:t>
            </m:r>
            <m:r>
              <m:rPr>
                <m:lit/>
                <m:nor/>
              </m:rPr>
              <m:t xml:space="preserve">cd</m:t>
            </m:r>
            <m:r>
              <m:t xml:space="preserve">(</m:t>
            </m:r>
            <m:r>
              <m:t xml:space="preserve">t</m:t>
            </m:r>
            <m:r>
              <m:t xml:space="preserve">−</m:t>
            </m:r>
            <m:r>
              <m:t xml:space="preserve">1</m:t>
            </m:r>
            <m:r>
              <m:t xml:space="preserve">)</m:t>
            </m:r>
            <m:r>
              <m:t xml:space="preserve">)</m:t>
            </m:r>
            <m:r>
              <m:t xml:space="preserve">×</m:t>
            </m:r>
            <m:r>
              <m:rPr>
                <m:lit/>
                <m:nor/>
              </m:rPr>
              <m:t xml:space="preserve">DF</m:t>
            </m:r>
            <m:r>
              <m:t xml:space="preserve">(</m:t>
            </m:r>
            <m:r>
              <m:t xml:space="preserve">t</m:t>
            </m:r>
            <m:r>
              <m:t xml:space="preserve">)</m:t>
            </m:r>
            <m:r>
              <m:t xml:space="preserve">×</m:t>
            </m:r>
            <m:r>
              <m:rPr>
                <m:lit/>
                <m:nor/>
              </m:rPr>
              <m:t xml:space="preserve">Price</m:t>
            </m:r>
            <m:r>
              <m:t xml:space="preserve">(</m:t>
            </m:r>
            <m:r>
              <m:rPr>
                <m:lit/>
                <m:nor/>
              </m:rPr>
              <m:t xml:space="preserve">bps</m:t>
            </m:r>
            <m:r>
              <m:t xml:space="preserve">)</m:t>
            </m:r>
            <m:r>
              <m:t xml:space="preserve">×</m:t>
            </m:r>
            <m:r>
              <m:rPr>
                <m:lit/>
                <m:nor/>
              </m:rPr>
              <m:t xml:space="preserve">Notional</m:t>
            </m:r>
          </m:e>
        </m:nary>
      </m:oMath>
      <w:r>
        <w:rPr/>
        <w:tab/>
        <w:tab/>
        <w:t>(4)</w:t>
      </w:r>
    </w:p>
    <w:p>
      <w:pPr>
        <w:pStyle w:val="Heading2"/>
        <w:ind w:hanging="0" w:start="0"/>
        <w:jc w:val="both"/>
        <w:rPr/>
      </w:pPr>
      <w:r>
        <w:rPr/>
      </w:r>
    </w:p>
    <w:p>
      <w:pPr>
        <w:pStyle w:val="Normal"/>
        <w:jc w:val="both"/>
        <w:rPr/>
      </w:pPr>
      <w:r>
        <w:rPr/>
        <w:t>The expected cashflows to both seller and buyer must be equal under the risk-neutral measure, to avoid arbitrage, leaving the following:</w:t>
      </w:r>
    </w:p>
    <w:p>
      <w:pPr>
        <w:pStyle w:val="Normal"/>
        <w:jc w:val="both"/>
        <w:rPr/>
      </w:pPr>
      <w:r>
        <w:rPr/>
      </w:r>
    </w:p>
    <w:p>
      <w:pPr>
        <w:pStyle w:val="Normal"/>
        <w:jc w:val="both"/>
        <w:rPr/>
      </w:pPr>
      <w:r>
        <w:rPr/>
        <w:tab/>
      </w:r>
      <w:r>
        <w:rPr/>
      </w:r>
      <m:oMath xmlns:m="http://schemas.openxmlformats.org/officeDocument/2006/math">
        <m:r>
          <m:rPr>
            <m:lit/>
            <m:nor/>
          </m:rPr>
          <m:t xml:space="preserve">Price</m:t>
        </m:r>
        <m:r>
          <m:t xml:space="preserve">(</m:t>
        </m:r>
        <m:r>
          <m:rPr>
            <m:lit/>
            <m:nor/>
          </m:rPr>
          <m:t xml:space="preserve">bps</m:t>
        </m:r>
        <m:r>
          <m:t xml:space="preserve">)</m:t>
        </m:r>
        <m:r>
          <m:t xml:space="preserve">=</m:t>
        </m:r>
        <m:f>
          <m:num>
            <m:nary>
              <m:naryPr>
                <m:chr m:val="∑"/>
              </m:naryPr>
              <m:sub>
                <m:r>
                  <m:t xml:space="preserve">t</m:t>
                </m:r>
                <m:r>
                  <m:t xml:space="preserve">=</m:t>
                </m:r>
                <m:r>
                  <m:t xml:space="preserve">1</m:t>
                </m:r>
              </m:sub>
              <m:sup>
                <m:r>
                  <m:t xml:space="preserve">T</m:t>
                </m:r>
              </m:sup>
              <m:e>
                <m:r>
                  <m:rPr>
                    <m:lit/>
                    <m:nor/>
                  </m:rPr>
                  <m:t xml:space="preserve">md</m:t>
                </m:r>
                <m:r>
                  <m:t xml:space="preserve">(</m:t>
                </m:r>
                <m:r>
                  <m:t xml:space="preserve">t</m:t>
                </m:r>
                <m:r>
                  <m:t xml:space="preserve">)</m:t>
                </m:r>
                <m:r>
                  <m:t xml:space="preserve">×</m:t>
                </m:r>
                <m:r>
                  <m:rPr>
                    <m:lit/>
                    <m:nor/>
                  </m:rPr>
                  <m:t xml:space="preserve">cs</m:t>
                </m:r>
                <m:r>
                  <m:t xml:space="preserve">(</m:t>
                </m:r>
                <m:r>
                  <m:t xml:space="preserve">t</m:t>
                </m:r>
                <m:r>
                  <m:t xml:space="preserve">−</m:t>
                </m:r>
                <m:r>
                  <m:t xml:space="preserve">1</m:t>
                </m:r>
                <m:r>
                  <m:t xml:space="preserve">)</m:t>
                </m:r>
                <m:r>
                  <m:t xml:space="preserve">×</m:t>
                </m:r>
                <m:r>
                  <m:rPr>
                    <m:lit/>
                    <m:nor/>
                  </m:rPr>
                  <m:t xml:space="preserve">DF</m:t>
                </m:r>
                <m:r>
                  <m:t xml:space="preserve">(</m:t>
                </m:r>
                <m:r>
                  <m:t xml:space="preserve">t</m:t>
                </m:r>
                <m:r>
                  <m:t xml:space="preserve">)</m:t>
                </m:r>
              </m:e>
            </m:nary>
          </m:num>
          <m:den>
            <m:nary>
              <m:naryPr>
                <m:chr m:val="∑"/>
              </m:naryPr>
              <m:sub>
                <m:r>
                  <m:t xml:space="preserve">t</m:t>
                </m:r>
                <m:r>
                  <m:t xml:space="preserve">=</m:t>
                </m:r>
                <m:r>
                  <m:t xml:space="preserve">1</m:t>
                </m:r>
              </m:sub>
              <m:sup>
                <m:r>
                  <m:t xml:space="preserve">T</m:t>
                </m:r>
              </m:sup>
              <m:e>
                <m:r>
                  <m:rPr>
                    <m:lit/>
                    <m:nor/>
                  </m:rPr>
                  <m:t xml:space="preserve">cs</m:t>
                </m:r>
                <m:r>
                  <m:t xml:space="preserve">(</m:t>
                </m:r>
                <m:r>
                  <m:t xml:space="preserve">t</m:t>
                </m:r>
                <m:r>
                  <m:t xml:space="preserve">−</m:t>
                </m:r>
                <m:r>
                  <m:t xml:space="preserve">1</m:t>
                </m:r>
                <m:r>
                  <m:t xml:space="preserve">)</m:t>
                </m:r>
                <m:r>
                  <m:t xml:space="preserve">×</m:t>
                </m:r>
                <m:r>
                  <m:rPr>
                    <m:lit/>
                    <m:nor/>
                  </m:rPr>
                  <m:t xml:space="preserve">DF</m:t>
                </m:r>
                <m:r>
                  <m:t xml:space="preserve">(</m:t>
                </m:r>
                <m:r>
                  <m:t xml:space="preserve">t</m:t>
                </m:r>
                <m:r>
                  <m:t xml:space="preserve">)</m:t>
                </m:r>
              </m:e>
            </m:nary>
          </m:den>
        </m:f>
      </m:oMath>
      <w:r>
        <w:rPr/>
        <w:t xml:space="preserve"> </w:t>
        <w:tab/>
        <w:tab/>
        <w:tab/>
        <w:tab/>
        <w:tab/>
        <w:t>(5)</w:t>
      </w:r>
    </w:p>
    <w:p>
      <w:pPr>
        <w:pStyle w:val="Normal"/>
        <w:jc w:val="both"/>
        <w:rPr/>
      </w:pPr>
      <w:r>
        <w:rPr/>
      </w:r>
    </w:p>
    <w:p>
      <w:pPr>
        <w:pStyle w:val="Normal"/>
        <w:jc w:val="both"/>
        <w:rPr/>
      </w:pPr>
      <w:r>
        <w:rPr/>
        <w:t xml:space="preserve">This derivation uses the fact that </w:t>
      </w:r>
      <w:r>
        <w:rPr>
          <w:i/>
        </w:rPr>
        <w:t>d</w:t>
      </w:r>
      <w:r>
        <w:rPr/>
        <w:t>(</w:t>
      </w:r>
      <w:r>
        <w:rPr>
          <w:i/>
        </w:rPr>
        <w:t>t</w:t>
      </w:r>
      <w:r>
        <w:rPr/>
        <w:t xml:space="preserve">) = </w:t>
      </w:r>
      <w:r>
        <w:rPr>
          <w:i/>
        </w:rPr>
        <w:t>md</w:t>
      </w:r>
      <w:r>
        <w:rPr/>
        <w:t>(</w:t>
      </w:r>
      <w:r>
        <w:rPr>
          <w:i/>
        </w:rPr>
        <w:t>t</w:t>
      </w:r>
      <w:r>
        <w:rPr/>
        <w:t>)</w:t>
      </w:r>
      <w:r>
        <w:rPr>
          <w:rFonts w:eastAsia="Symbol" w:cs="Symbol" w:ascii="Symbol" w:hAnsi="Symbol"/>
        </w:rPr>
        <w:sym w:font="Symbol" w:char="f0b4"/>
      </w:r>
      <w:r>
        <w:rPr>
          <w:i/>
        </w:rPr>
        <w:t>cs</w:t>
      </w:r>
      <w:r>
        <w:rPr/>
        <w:t>(</w:t>
      </w:r>
      <w:r>
        <w:rPr>
          <w:i/>
        </w:rPr>
        <w:t>t</w:t>
      </w:r>
      <w:r>
        <w:rPr/>
        <w:t xml:space="preserve">-1); where </w:t>
      </w:r>
      <w:r>
        <w:rPr>
          <w:i/>
        </w:rPr>
        <w:t>cs</w:t>
      </w:r>
      <w:r>
        <w:rPr/>
        <w:t>(</w:t>
      </w:r>
      <w:r>
        <w:rPr>
          <w:i/>
        </w:rPr>
        <w:t>t</w:t>
      </w:r>
      <w:r>
        <w:rPr/>
        <w:t xml:space="preserve">) represents the cumulative survival probability at </w:t>
      </w:r>
      <w:r>
        <w:rPr>
          <w:i/>
        </w:rPr>
        <w:t>t</w:t>
      </w:r>
      <w:r>
        <w:rPr/>
        <w:t>, and equals 1-</w:t>
      </w:r>
      <w:r>
        <w:rPr>
          <w:i/>
        </w:rPr>
        <w:t>cd</w:t>
      </w:r>
      <w:r>
        <w:rPr/>
        <w:t>(</w:t>
      </w:r>
      <w:r>
        <w:rPr>
          <w:i/>
        </w:rPr>
        <w:t>t</w:t>
      </w:r>
      <w:r>
        <w:rPr/>
        <w:t>).</w:t>
      </w:r>
    </w:p>
    <w:p>
      <w:pPr>
        <w:pStyle w:val="Normal"/>
        <w:jc w:val="both"/>
        <w:rPr/>
      </w:pPr>
      <w:r>
        <w:rPr/>
      </w:r>
    </w:p>
    <w:p>
      <w:pPr>
        <w:pStyle w:val="BodyText"/>
        <w:rPr/>
      </w:pPr>
      <w:r>
        <w:rPr/>
        <w:t xml:space="preserve">The bankruptcy swap price is now analogous to a commodity swap price, with the forward commodity prices discounted using a discount factor adjusted by the cumulative survival probability </w:t>
      </w:r>
      <w:r>
        <w:rPr>
          <w:i/>
        </w:rPr>
        <w:t>cs</w:t>
      </w:r>
      <w:r>
        <w:rPr/>
        <w:t>(</w:t>
      </w:r>
      <w:r>
        <w:rPr>
          <w:i/>
        </w:rPr>
        <w:t>t</w:t>
      </w:r>
      <w:r>
        <w:rPr/>
        <w:t>-1). This extra discounting reflects the risk of early termination of the contract, or equivalently, non-payment of the fixed cashflows. This is reference entity credit risk, not counterparty risk.</w:t>
      </w:r>
    </w:p>
    <w:p>
      <w:pPr>
        <w:pStyle w:val="BodyText"/>
        <w:rPr/>
      </w:pPr>
      <w:r>
        <w:rPr/>
      </w:r>
    </w:p>
    <w:p>
      <w:pPr>
        <w:pStyle w:val="BodyText"/>
        <w:rPr>
          <w:b/>
        </w:rPr>
      </w:pPr>
      <w:r>
        <w:rPr/>
        <w:t xml:space="preserve">This formulation is particular tractable when modelling credit risk using hazard rates (see Duffie). The probability of survival without default for </w:t>
      </w:r>
      <w:r>
        <w:rPr>
          <w:i/>
        </w:rPr>
        <w:t xml:space="preserve">t </w:t>
      </w:r>
      <w:r>
        <w:rPr/>
        <w:t xml:space="preserve">periods can be written as </w:t>
      </w:r>
      <w:r>
        <w:rPr>
          <w:i/>
        </w:rPr>
        <w:t>cs</w:t>
      </w:r>
      <w:r>
        <w:rPr/>
        <w:t>(</w:t>
      </w:r>
      <w:r>
        <w:rPr>
          <w:i/>
        </w:rPr>
        <w:t>t</w:t>
      </w:r>
      <w:r>
        <w:rPr/>
        <w:t xml:space="preserve">) = </w:t>
      </w:r>
      <w:r>
        <w:rPr>
          <w:i/>
        </w:rPr>
        <w:t>e</w:t>
      </w:r>
      <w:r>
        <w:rPr>
          <w:vertAlign w:val="superscript"/>
        </w:rPr>
        <w:t>-</w:t>
      </w:r>
      <w:r>
        <w:rPr>
          <w:i/>
          <w:vertAlign w:val="superscript"/>
        </w:rPr>
        <w:t>ht</w:t>
      </w:r>
      <w:r>
        <w:rPr>
          <w:i/>
        </w:rPr>
        <w:t xml:space="preserve"> </w:t>
      </w:r>
      <w:r>
        <w:rPr/>
        <w:t xml:space="preserve">where </w:t>
      </w:r>
      <w:r>
        <w:rPr>
          <w:i/>
        </w:rPr>
        <w:t xml:space="preserve">h </w:t>
      </w:r>
      <w:r>
        <w:rPr/>
        <w:t xml:space="preserve">is the constant hazard rate. With a constant short rate </w:t>
      </w:r>
      <w:r>
        <w:rPr>
          <w:i/>
        </w:rPr>
        <w:t>r</w:t>
      </w:r>
      <w:r>
        <w:rPr/>
        <w:t xml:space="preserve">, and continuous compounding, </w:t>
      </w:r>
      <w:r>
        <w:rPr>
          <w:i/>
        </w:rPr>
        <w:t>DF</w:t>
      </w:r>
      <w:r>
        <w:rPr/>
        <w:t>(</w:t>
      </w:r>
      <w:r>
        <w:rPr>
          <w:i/>
        </w:rPr>
        <w:t>t</w:t>
      </w:r>
      <w:r>
        <w:rPr/>
        <w:t xml:space="preserve">) = </w:t>
      </w:r>
      <w:r>
        <w:rPr>
          <w:i/>
        </w:rPr>
        <w:t>e</w:t>
      </w:r>
      <w:r>
        <w:rPr>
          <w:i/>
          <w:vertAlign w:val="superscript"/>
        </w:rPr>
        <w:t>-rt</w:t>
      </w:r>
      <w:r>
        <w:rPr/>
        <w:t xml:space="preserve">. Cashflows are then discounted at </w:t>
      </w:r>
      <w:r>
        <w:rPr>
          <w:i/>
        </w:rPr>
        <w:t>r</w:t>
      </w:r>
      <w:r>
        <w:rPr/>
        <w:t xml:space="preserve"> across the time period [</w:t>
      </w:r>
      <w:r>
        <w:rPr>
          <w:i/>
        </w:rPr>
        <w:t>t</w:t>
      </w:r>
      <w:r>
        <w:rPr/>
        <w:t>-1,</w:t>
      </w:r>
      <w:r>
        <w:rPr>
          <w:i/>
        </w:rPr>
        <w:t>t</w:t>
      </w:r>
      <w:r>
        <w:rPr/>
        <w:t xml:space="preserve">], and at </w:t>
      </w:r>
      <w:r>
        <w:rPr>
          <w:i/>
        </w:rPr>
        <w:t>h+r</w:t>
      </w:r>
      <w:r>
        <w:rPr/>
        <w:t xml:space="preserve"> across [0,</w:t>
      </w:r>
      <w:r>
        <w:rPr>
          <w:i/>
        </w:rPr>
        <w:t>t</w:t>
      </w:r>
      <w:r>
        <w:rPr/>
        <w:t xml:space="preserve">-1], using the combined discount factor </w:t>
      </w:r>
      <w:r>
        <w:rPr>
          <w:i/>
        </w:rPr>
        <w:t>e</w:t>
      </w:r>
      <w:r>
        <w:rPr>
          <w:i/>
          <w:vertAlign w:val="superscript"/>
        </w:rPr>
        <w:t>-</w:t>
      </w:r>
      <w:r>
        <w:rPr>
          <w:vertAlign w:val="superscript"/>
        </w:rPr>
        <w:t>(</w:t>
      </w:r>
      <w:r>
        <w:rPr>
          <w:i/>
          <w:vertAlign w:val="superscript"/>
        </w:rPr>
        <w:t>r+h</w:t>
      </w:r>
      <w:r>
        <w:rPr>
          <w:vertAlign w:val="superscript"/>
        </w:rPr>
        <w:t>)(</w:t>
      </w:r>
      <w:r>
        <w:rPr>
          <w:i/>
          <w:vertAlign w:val="superscript"/>
        </w:rPr>
        <w:t>t</w:t>
      </w:r>
      <w:r>
        <w:rPr>
          <w:vertAlign w:val="superscript"/>
        </w:rPr>
        <w:t>-1)</w:t>
      </w:r>
      <w:r>
        <w:rPr>
          <w:i/>
        </w:rPr>
        <w:t xml:space="preserve"> e</w:t>
      </w:r>
      <w:r>
        <w:rPr>
          <w:i/>
          <w:vertAlign w:val="superscript"/>
        </w:rPr>
        <w:t>-r</w:t>
      </w:r>
      <w:r>
        <w:rPr/>
        <w:t>. The hazard rate</w:t>
      </w:r>
      <w:r>
        <w:rPr>
          <w:rStyle w:val="FootnoteCharacters"/>
          <w:rStyle w:val="FootnoteReference"/>
        </w:rPr>
        <w:footnoteReference w:id="5"/>
      </w:r>
      <w:r>
        <w:rPr/>
        <w:t xml:space="preserve"> is then analogous to a credit spread used to discount risky cashflows</w:t>
      </w:r>
      <w:r>
        <w:rPr>
          <w:rStyle w:val="FootnoteCharacters"/>
          <w:rStyle w:val="FootnoteReference"/>
        </w:rPr>
        <w:footnoteReference w:id="6"/>
      </w:r>
      <w:r>
        <w:rPr/>
        <w:t>.</w:t>
      </w:r>
    </w:p>
    <w:p>
      <w:pPr>
        <w:pStyle w:val="Heading2"/>
        <w:ind w:hanging="0" w:start="0"/>
        <w:jc w:val="both"/>
        <w:rPr>
          <w:b w:val="false"/>
        </w:rPr>
      </w:pPr>
      <w:r>
        <w:rPr>
          <w:b w:val="false"/>
        </w:rPr>
      </w:r>
    </w:p>
    <w:p>
      <w:pPr>
        <w:pStyle w:val="Heading2"/>
        <w:ind w:hanging="0" w:start="0"/>
        <w:jc w:val="both"/>
        <w:rPr>
          <w:b w:val="false"/>
        </w:rPr>
      </w:pPr>
      <w:r>
        <w:rPr/>
        <w:t>4.3</w:t>
        <w:tab/>
        <w:t>Forward Bankruptcy Prices</w:t>
      </w:r>
    </w:p>
    <w:p>
      <w:pPr>
        <w:pStyle w:val="Heading2"/>
        <w:ind w:hanging="0" w:start="0"/>
        <w:jc w:val="both"/>
        <w:rPr>
          <w:b w:val="false"/>
        </w:rPr>
      </w:pPr>
      <w:r>
        <w:rPr>
          <w:b w:val="false"/>
        </w:rPr>
      </w:r>
    </w:p>
    <w:p>
      <w:pPr>
        <w:pStyle w:val="Heading2"/>
        <w:ind w:hanging="0" w:start="0"/>
        <w:jc w:val="both"/>
        <w:rPr/>
      </w:pPr>
      <w:r>
        <w:rPr>
          <w:b w:val="false"/>
        </w:rPr>
        <w:t xml:space="preserve">Using formulation (5), we can improve the commodity swap analogy further. A commodity swap is composed of a series of forward commodity contracts, where the buyer agrees to pay a fixed price for a volume of the commodity during a forward month. Now consider a forward bankruptcy contract where the seller agrees to pay the buyer a notional amount if the reference entity goes bankrupt during a forward period </w:t>
      </w:r>
      <w:r>
        <w:rPr>
          <w:b w:val="false"/>
          <w:i/>
        </w:rPr>
        <w:t>t</w:t>
      </w:r>
      <w:r>
        <w:rPr>
          <w:b w:val="false"/>
        </w:rPr>
        <w:t xml:space="preserve">. In return the seller receives a fixed price. However if the reference entity goes bankrupt at a time prior to the period </w:t>
      </w:r>
      <w:r>
        <w:rPr>
          <w:b w:val="false"/>
          <w:i/>
        </w:rPr>
        <w:t>t</w:t>
      </w:r>
      <w:r>
        <w:rPr>
          <w:b w:val="false"/>
        </w:rPr>
        <w:t>, then neither of these cashflows takes place, and the contract ceases. The expected cashflows are therefore weighted by the probabilities of survival up to this period:</w:t>
      </w:r>
    </w:p>
    <w:p>
      <w:pPr>
        <w:pStyle w:val="Heading2"/>
        <w:ind w:hanging="0" w:start="0"/>
        <w:jc w:val="both"/>
        <w:rPr>
          <w:b w:val="false"/>
        </w:rPr>
      </w:pPr>
      <w:r>
        <w:rPr>
          <w:b w:val="false"/>
        </w:rPr>
      </w:r>
    </w:p>
    <w:p>
      <w:pPr>
        <w:pStyle w:val="Heading2"/>
        <w:ind w:hanging="0" w:start="0"/>
        <w:jc w:val="both"/>
        <w:rPr>
          <w:b w:val="false"/>
        </w:rPr>
      </w:pPr>
      <w:r>
        <w:rPr>
          <w:b w:val="false"/>
        </w:rPr>
        <w:tab/>
      </w:r>
      <w:r>
        <w:rPr>
          <w:b w:val="false"/>
        </w:rPr>
      </w:r>
      <m:oMath xmlns:m="http://schemas.openxmlformats.org/officeDocument/2006/math">
        <m:eqArr>
          <m:e>
            <m:r>
              <m:t xml:space="preserve">E</m:t>
            </m:r>
            <m:r>
              <m:t xml:space="preserve">(</m:t>
            </m:r>
            <m:r>
              <m:rPr>
                <m:lit/>
                <m:nor/>
              </m:rPr>
              <m:t xml:space="preserve">cashflows to seller</m:t>
            </m:r>
            <m:r>
              <m:t xml:space="preserve">)</m:t>
            </m:r>
            <m:r>
              <m:t xml:space="preserve">=</m:t>
            </m:r>
            <m:r>
              <m:rPr>
                <m:lit/>
                <m:nor/>
              </m:rPr>
              <m:t xml:space="preserve">cs</m:t>
            </m:r>
            <m:r>
              <m:t xml:space="preserve">(</m:t>
            </m:r>
            <m:r>
              <m:t xml:space="preserve">t</m:t>
            </m:r>
            <m:r>
              <m:t xml:space="preserve">)</m:t>
            </m:r>
            <m:r>
              <m:t xml:space="preserve">×</m:t>
            </m:r>
            <m:r>
              <m:rPr>
                <m:lit/>
                <m:nor/>
              </m:rPr>
              <m:t xml:space="preserve">price</m:t>
            </m:r>
            <m:r>
              <m:t xml:space="preserve">(</m:t>
            </m:r>
            <m:r>
              <m:rPr>
                <m:lit/>
                <m:nor/>
              </m:rPr>
              <m:t xml:space="preserve">bps</m:t>
            </m:r>
            <m:r>
              <m:t xml:space="preserve">)</m:t>
            </m:r>
            <m:r>
              <m:t xml:space="preserve">(</m:t>
            </m:r>
            <m:r>
              <m:t xml:space="preserve">t</m:t>
            </m:r>
            <m:r>
              <m:t xml:space="preserve">)</m:t>
            </m:r>
            <m:r>
              <m:t xml:space="preserve">×</m:t>
            </m:r>
            <m:r>
              <m:rPr>
                <m:lit/>
                <m:nor/>
              </m:rPr>
              <m:t xml:space="preserve">Notional</m:t>
            </m:r>
          </m:e>
          <m:e>
            <m:r>
              <m:t xml:space="preserve">E</m:t>
            </m:r>
            <m:r>
              <m:t xml:space="preserve">(</m:t>
            </m:r>
            <m:r>
              <m:rPr>
                <m:lit/>
                <m:nor/>
              </m:rPr>
              <m:t xml:space="preserve">cashflows to buyer</m:t>
            </m:r>
            <m:r>
              <m:t xml:space="preserve">)</m:t>
            </m:r>
            <m:r>
              <m:t xml:space="preserve">=</m:t>
            </m:r>
            <m:r>
              <m:rPr>
                <m:lit/>
                <m:nor/>
              </m:rPr>
              <m:t xml:space="preserve">cs</m:t>
            </m:r>
            <m:r>
              <m:t xml:space="preserve">(</m:t>
            </m:r>
            <m:r>
              <m:t xml:space="preserve">t</m:t>
            </m:r>
            <m:r>
              <m:t xml:space="preserve">)</m:t>
            </m:r>
            <m:r>
              <m:t xml:space="preserve">×</m:t>
            </m:r>
            <m:r>
              <m:rPr>
                <m:lit/>
                <m:nor/>
              </m:rPr>
              <m:t xml:space="preserve">md</m:t>
            </m:r>
            <m:r>
              <m:t xml:space="preserve">(</m:t>
            </m:r>
            <m:r>
              <m:t xml:space="preserve">t</m:t>
            </m:r>
            <m:r>
              <m:t xml:space="preserve">)</m:t>
            </m:r>
            <m:r>
              <m:t xml:space="preserve">×</m:t>
            </m:r>
            <m:r>
              <m:rPr>
                <m:lit/>
                <m:nor/>
              </m:rPr>
              <m:t xml:space="preserve">Notional</m:t>
            </m:r>
          </m:e>
        </m:eqArr>
      </m:oMath>
    </w:p>
    <w:p>
      <w:pPr>
        <w:pStyle w:val="Heading2"/>
        <w:ind w:hanging="0" w:start="0"/>
        <w:jc w:val="both"/>
        <w:rPr>
          <w:b w:val="false"/>
        </w:rPr>
      </w:pPr>
      <w:r>
        <w:rPr>
          <w:b w:val="false"/>
        </w:rPr>
      </w:r>
    </w:p>
    <w:p>
      <w:pPr>
        <w:pStyle w:val="Normal"/>
        <w:jc w:val="both"/>
        <w:rPr/>
      </w:pPr>
      <w:r>
        <w:rPr/>
        <w:t xml:space="preserve">Since these two expected NPV’s have to equate under risk-neutrality, the basis point price of the forward bankruptcy contract is simply the marginal default probability at time </w:t>
      </w:r>
      <w:r>
        <w:rPr>
          <w:i/>
        </w:rPr>
        <w:t>t</w:t>
      </w:r>
      <w:r>
        <w:rPr/>
        <w:t xml:space="preserve">. Returning to the swap price in (5) we see that the price is simply a weighted average of marginal default probabilities, and thus forward bankruptcy prices. Hence, analogous to the commodity swap, the bankruptcy swap is composed of a portfolio of forward bankruptcy contracts. The relevant curve to post is then the forward bankruptcy curve, i.e. the marginal default probability curve. This curve we shall simply call the </w:t>
      </w:r>
      <w:r>
        <w:rPr>
          <w:b/>
        </w:rPr>
        <w:t>credit curve</w:t>
      </w:r>
      <w:r>
        <w:rPr/>
        <w:t xml:space="preserve">. From this curve the </w:t>
      </w:r>
      <w:r>
        <w:rPr>
          <w:b/>
        </w:rPr>
        <w:t>swap curve</w:t>
      </w:r>
      <w:r>
        <w:rPr/>
        <w:t xml:space="preserve"> is computed using equation (5).</w:t>
        <w:tab/>
      </w:r>
    </w:p>
    <w:p>
      <w:pPr>
        <w:pStyle w:val="Normal"/>
        <w:jc w:val="both"/>
        <w:rPr/>
      </w:pPr>
      <w:r>
        <w:rPr/>
      </w:r>
    </w:p>
    <w:p>
      <w:pPr>
        <w:pStyle w:val="Normal"/>
        <w:jc w:val="both"/>
        <w:rPr/>
      </w:pPr>
      <w:r>
        <w:rPr/>
      </w:r>
    </w:p>
    <w:p>
      <w:pPr>
        <w:pStyle w:val="Normal"/>
        <w:jc w:val="both"/>
        <w:rPr/>
      </w:pPr>
      <w:r>
        <w:rPr>
          <w:b/>
        </w:rPr>
        <w:t>5.</w:t>
        <w:tab/>
      </w:r>
      <w:r>
        <w:rPr>
          <w:b/>
          <w:caps/>
        </w:rPr>
        <w:t>Building the Credit Curve</w:t>
      </w:r>
    </w:p>
    <w:p>
      <w:pPr>
        <w:pStyle w:val="Normal"/>
        <w:jc w:val="both"/>
        <w:rPr/>
      </w:pPr>
      <w:r>
        <w:rPr/>
      </w:r>
    </w:p>
    <w:p>
      <w:pPr>
        <w:pStyle w:val="BodyText"/>
        <w:rPr/>
      </w:pPr>
      <w:r>
        <w:rPr/>
        <w:t>We already use credit curves for most of our counterparties when computing credit reserves. These curves are derived from Bloomberg’s Fair Market Curves (FMCs) which are generic yield curves based upon sets of US bonds grouped together by industry and credit rating. The spread between the FMCs and the US Treasury curve is used to derive default probabilities. Our first step in building credit curves is to build these FMC credit curves, then map our reference entities to these curves using their credit ratings. This gives us a benchmark swap curve for each reference entity.</w:t>
      </w:r>
    </w:p>
    <w:p>
      <w:pPr>
        <w:pStyle w:val="BodyText"/>
        <w:jc w:val="start"/>
        <w:rPr/>
      </w:pPr>
      <w:r>
        <w:rPr/>
      </w:r>
    </w:p>
    <w:p>
      <w:pPr>
        <w:pStyle w:val="BodyText"/>
        <w:rPr/>
      </w:pPr>
      <w:r>
        <w:rPr/>
        <w:t>We then have a variety of other methods to more accurately price the names. First is to simply rank the reference entities in order to add further granularity to the ratings. The rankings are achieved using fundamental credit analysis. Secondly we can find specific bond and asset swaps for each reference entity and use these to build the curves. These specific models are still under development. Eventually we may also decide to use an entirely different technique, such as KMV, for building the curves.</w:t>
      </w:r>
    </w:p>
    <w:p>
      <w:pPr>
        <w:pStyle w:val="BodyText"/>
        <w:rPr/>
      </w:pPr>
      <w:r>
        <w:rPr/>
      </w:r>
    </w:p>
    <w:p>
      <w:pPr>
        <w:pStyle w:val="BodyText"/>
        <w:rPr/>
      </w:pPr>
      <w:r>
        <w:rPr/>
        <w:t>Each of these possible techniques provide only approximate curves however, as they are pricing bond default risk, not bankruptcy risk. For this reason, the only accurate way to build curves will be to derive them explicitly from traded bankruptcy swap prices.  These products do not yet exist, so the emphasis will be on the traders to provide “market” prices for each reference entity, from which the curves will be derived. These curves will simply be based upon the prices the traders are willing to transact on. The trader will use the techniques described above to give benchmark prices, but not true market prices.</w:t>
      </w:r>
    </w:p>
    <w:p>
      <w:pPr>
        <w:pStyle w:val="Normal"/>
        <w:jc w:val="both"/>
        <w:rPr/>
      </w:pPr>
      <w:r>
        <w:rPr/>
      </w:r>
    </w:p>
    <w:p>
      <w:pPr>
        <w:pStyle w:val="Normal"/>
        <w:jc w:val="both"/>
        <w:rPr/>
      </w:pPr>
      <w:r>
        <w:rPr/>
        <w:t>Given these market swap prices the credit curve is then built by matching these prices whilst providing a curve profile which is smooth and makes mathematical sense. At the outset this will simply be done by applying a flat curve between the years, and fixing these flat prices as functions of the swap prices.</w:t>
      </w:r>
      <w:r>
        <w:rPr>
          <w:rStyle w:val="FootnoteCharacters"/>
          <w:rStyle w:val="FootnoteReference"/>
        </w:rPr>
        <w:footnoteReference w:id="7"/>
      </w:r>
    </w:p>
    <w:p>
      <w:pPr>
        <w:pStyle w:val="Normal"/>
        <w:jc w:val="both"/>
        <w:rPr/>
      </w:pPr>
      <w:r>
        <w:rPr/>
      </w:r>
    </w:p>
    <w:p>
      <w:pPr>
        <w:pStyle w:val="Normal"/>
        <w:jc w:val="both"/>
        <w:rPr/>
      </w:pPr>
      <w:r>
        <w:rPr/>
      </w:r>
    </w:p>
    <w:p>
      <w:pPr>
        <w:pStyle w:val="Heading2"/>
        <w:ind w:hanging="0" w:start="0"/>
        <w:jc w:val="both"/>
        <w:rPr/>
      </w:pPr>
      <w:r>
        <w:rPr/>
        <w:t>6.</w:t>
        <w:tab/>
      </w:r>
      <w:r>
        <w:rPr>
          <w:caps/>
        </w:rPr>
        <w:t>Deal Valuation</w:t>
      </w:r>
    </w:p>
    <w:p>
      <w:pPr>
        <w:pStyle w:val="Normal"/>
        <w:jc w:val="both"/>
        <w:rPr/>
      </w:pPr>
      <w:r>
        <w:rPr/>
      </w:r>
    </w:p>
    <w:p>
      <w:pPr>
        <w:pStyle w:val="Normal"/>
        <w:jc w:val="both"/>
        <w:rPr/>
      </w:pPr>
      <w:r>
        <w:rPr/>
        <w:t xml:space="preserve">The mark-to-market (MTM) valuation of a bankruptcy swap is achieved in an analogous fashion to a commodity swap. The value </w:t>
      </w:r>
      <w:r>
        <w:rPr>
          <w:i/>
        </w:rPr>
        <w:t>V</w:t>
      </w:r>
      <w:r>
        <w:rPr/>
        <w:t xml:space="preserve"> is given by the formula:</w:t>
      </w:r>
    </w:p>
    <w:p>
      <w:pPr>
        <w:pStyle w:val="Normal"/>
        <w:jc w:val="both"/>
        <w:rPr/>
      </w:pPr>
      <w:r>
        <w:rPr/>
      </w:r>
    </w:p>
    <w:p>
      <w:pPr>
        <w:pStyle w:val="Normal"/>
        <w:jc w:val="both"/>
        <w:rPr/>
      </w:pPr>
      <w:r>
        <w:rPr/>
        <w:tab/>
      </w:r>
      <w:r>
        <w:rPr/>
      </w:r>
      <m:oMath xmlns:m="http://schemas.openxmlformats.org/officeDocument/2006/math">
        <m:r>
          <m:t xml:space="preserve">V</m:t>
        </m:r>
        <m:r>
          <m:t xml:space="preserve">=</m:t>
        </m:r>
        <m:r>
          <m:t xml:space="preserve">K</m:t>
        </m:r>
        <m:nary>
          <m:naryPr>
            <m:chr m:val="∑"/>
          </m:naryPr>
          <m:sub>
            <m:r>
              <m:t xml:space="preserve">i</m:t>
            </m:r>
            <m:r>
              <m:t xml:space="preserve">=</m:t>
            </m:r>
            <m:r>
              <m:t xml:space="preserve">1</m:t>
            </m:r>
          </m:sub>
          <m:sup>
            <m:r>
              <m:t xml:space="preserve">T</m:t>
            </m:r>
          </m:sup>
          <m:e>
            <m:r>
              <m:t xml:space="preserve">±</m:t>
            </m:r>
            <m:r>
              <m:t xml:space="preserve">(</m:t>
            </m:r>
            <m:r>
              <m:rPr>
                <m:lit/>
                <m:nor/>
              </m:rPr>
              <m:t xml:space="preserve">md</m:t>
            </m:r>
            <m:r>
              <m:t xml:space="preserve">(</m:t>
            </m:r>
            <m:r>
              <m:t xml:space="preserve">i</m:t>
            </m:r>
            <m:r>
              <m:t xml:space="preserve">)</m:t>
            </m:r>
            <m:r>
              <m:t xml:space="preserve">−</m:t>
            </m:r>
            <m:r>
              <m:t xml:space="preserve">X</m:t>
            </m:r>
            <m:r>
              <m:t xml:space="preserve">)</m:t>
            </m:r>
            <m:r>
              <m:rPr>
                <m:lit/>
                <m:nor/>
              </m:rPr>
              <m:t xml:space="preserve">cs</m:t>
            </m:r>
            <m:r>
              <m:t xml:space="preserve">(</m:t>
            </m:r>
            <m:r>
              <m:t xml:space="preserve">i</m:t>
            </m:r>
            <m:r>
              <m:t xml:space="preserve">−</m:t>
            </m:r>
            <m:r>
              <m:t xml:space="preserve">1</m:t>
            </m:r>
            <m:r>
              <m:t xml:space="preserve">)</m:t>
            </m:r>
            <m:r>
              <m:rPr>
                <m:lit/>
                <m:nor/>
              </m:rPr>
              <m:t xml:space="preserve">DF</m:t>
            </m:r>
            <m:r>
              <m:t xml:space="preserve">(</m:t>
            </m:r>
            <m:r>
              <m:t xml:space="preserve">i</m:t>
            </m:r>
            <m:r>
              <m:t xml:space="preserve">)</m:t>
            </m:r>
          </m:e>
        </m:nary>
      </m:oMath>
    </w:p>
    <w:p>
      <w:pPr>
        <w:pStyle w:val="FootnoteText"/>
        <w:jc w:val="both"/>
        <w:rPr/>
      </w:pPr>
      <w:r>
        <w:rPr/>
      </w:r>
    </w:p>
    <w:p>
      <w:pPr>
        <w:pStyle w:val="Normal"/>
        <w:jc w:val="both"/>
        <w:rPr/>
      </w:pPr>
      <w:r>
        <w:rPr/>
        <w:t xml:space="preserve">where </w:t>
      </w:r>
      <w:r>
        <w:rPr>
          <w:i/>
        </w:rPr>
        <w:t>X</w:t>
      </w:r>
      <w:r>
        <w:rPr/>
        <w:t xml:space="preserve"> is the fixed swap price, </w:t>
      </w:r>
      <w:r>
        <w:rPr>
          <w:i/>
        </w:rPr>
        <w:t>K</w:t>
      </w:r>
      <w:r>
        <w:rPr/>
        <w:t xml:space="preserve"> is the notional, and </w:t>
      </w:r>
      <w:r>
        <w:rPr>
          <w:rFonts w:eastAsia="Symbol" w:cs="Symbol" w:ascii="Symbol" w:hAnsi="Symbol"/>
        </w:rPr>
        <w:sym w:font="Symbol" w:char="f0b1"/>
      </w:r>
      <w:r>
        <w:rPr/>
        <w:t xml:space="preserve"> represents the side of the deal we are on.</w:t>
      </w:r>
    </w:p>
    <w:p>
      <w:pPr>
        <w:pStyle w:val="Normal"/>
        <w:jc w:val="both"/>
        <w:rPr/>
      </w:pPr>
      <w:r>
        <w:rPr/>
      </w:r>
    </w:p>
    <w:p>
      <w:pPr>
        <w:pStyle w:val="Normal"/>
        <w:jc w:val="both"/>
        <w:rPr/>
      </w:pPr>
      <w:r>
        <w:rPr/>
        <w:t xml:space="preserve">The easiest way to realise this is to consider how much it would cost us to close out a deal with a current fixed price of </w:t>
      </w:r>
      <w:r>
        <w:rPr>
          <w:i/>
        </w:rPr>
        <w:t>X</w:t>
      </w:r>
      <w:r>
        <w:rPr/>
        <w:t xml:space="preserve">. Denoting the </w:t>
      </w:r>
      <w:r>
        <w:rPr>
          <w:i/>
        </w:rPr>
        <w:t>T</w:t>
      </w:r>
      <w:r>
        <w:rPr/>
        <w:t xml:space="preserve">-year swap price as </w:t>
      </w:r>
      <w:r>
        <w:rPr>
          <w:i/>
        </w:rPr>
        <w:t>P</w:t>
      </w:r>
      <w:r>
        <w:rPr>
          <w:i/>
          <w:vertAlign w:val="subscript"/>
        </w:rPr>
        <w:t>T</w:t>
      </w:r>
      <w:r>
        <w:rPr/>
        <w:t xml:space="preserve">, if we were long in the original deal, closure would result in the fixing in of cashflows </w:t>
      </w:r>
      <w:r>
        <w:rPr>
          <w:i/>
        </w:rPr>
        <w:t>K</w:t>
      </w:r>
      <w:r>
        <w:rPr>
          <w:rFonts w:eastAsia="Symbol" w:cs="Symbol" w:ascii="Symbol" w:hAnsi="Symbol"/>
        </w:rPr>
        <w:sym w:font="Symbol" w:char="f0b4"/>
      </w:r>
      <w:r>
        <w:rPr/>
        <w:t>(</w:t>
      </w:r>
      <w:r>
        <w:rPr>
          <w:i/>
        </w:rPr>
        <w:t>P</w:t>
      </w:r>
      <w:r>
        <w:rPr>
          <w:i/>
          <w:vertAlign w:val="subscript"/>
        </w:rPr>
        <w:t>T</w:t>
      </w:r>
      <w:r>
        <w:rPr/>
        <w:t>-</w:t>
      </w:r>
      <w:r>
        <w:rPr>
          <w:i/>
        </w:rPr>
        <w:t>X</w:t>
      </w:r>
      <w:r>
        <w:rPr/>
        <w:t xml:space="preserve">). These cashflows appear fixed, but in fact will disappear upon default of the reference entity, when both deals terminate. The cashflows must be discounted not just at </w:t>
      </w:r>
      <w:r>
        <w:rPr>
          <w:i/>
        </w:rPr>
        <w:t>DF</w:t>
      </w:r>
      <w:r>
        <w:rPr/>
        <w:t>(</w:t>
      </w:r>
      <w:r>
        <w:rPr>
          <w:i/>
        </w:rPr>
        <w:t>t</w:t>
      </w:r>
      <w:r>
        <w:rPr/>
        <w:t xml:space="preserve">) but </w:t>
      </w:r>
      <w:r>
        <w:rPr>
          <w:i/>
        </w:rPr>
        <w:t>cs</w:t>
      </w:r>
      <w:r>
        <w:rPr/>
        <w:t>(</w:t>
      </w:r>
      <w:r>
        <w:rPr>
          <w:i/>
        </w:rPr>
        <w:t>t</w:t>
      </w:r>
      <w:r>
        <w:rPr/>
        <w:t>-1)</w:t>
      </w:r>
      <w:r>
        <w:rPr>
          <w:rFonts w:eastAsia="Symbol" w:cs="Symbol" w:ascii="Symbol" w:hAnsi="Symbol"/>
        </w:rPr>
        <w:sym w:font="Symbol" w:char="f0b4"/>
      </w:r>
      <w:r>
        <w:rPr>
          <w:i/>
        </w:rPr>
        <w:t>DF</w:t>
      </w:r>
      <w:r>
        <w:rPr/>
        <w:t>(</w:t>
      </w:r>
      <w:r>
        <w:rPr>
          <w:i/>
        </w:rPr>
        <w:t>t</w:t>
      </w:r>
      <w:r>
        <w:rPr/>
        <w:t xml:space="preserve">) to reflect this additional risk. Using equation (5) for </w:t>
      </w:r>
      <w:r>
        <w:rPr>
          <w:i/>
        </w:rPr>
        <w:t>P</w:t>
      </w:r>
      <w:r>
        <w:rPr>
          <w:i/>
          <w:vertAlign w:val="subscript"/>
        </w:rPr>
        <w:t>T</w:t>
      </w:r>
      <w:r>
        <w:rPr/>
        <w:t xml:space="preserve"> results in the above valuation.</w:t>
      </w:r>
    </w:p>
    <w:p>
      <w:pPr>
        <w:pStyle w:val="FootnoteText"/>
        <w:jc w:val="both"/>
        <w:rPr/>
      </w:pPr>
      <w:r>
        <w:rPr/>
      </w:r>
    </w:p>
    <w:p>
      <w:pPr>
        <w:pStyle w:val="FootnoteText"/>
        <w:jc w:val="both"/>
        <w:rPr/>
      </w:pPr>
      <w:r>
        <w:rPr/>
      </w:r>
    </w:p>
    <w:p>
      <w:pPr>
        <w:pStyle w:val="Heading2"/>
        <w:ind w:hanging="0" w:start="0"/>
        <w:jc w:val="both"/>
        <w:rPr/>
      </w:pPr>
      <w:r>
        <w:rPr/>
        <w:t>7.</w:t>
        <w:tab/>
      </w:r>
      <w:r>
        <w:rPr>
          <w:caps/>
        </w:rPr>
        <w:t>Delta sensitivities</w:t>
      </w:r>
    </w:p>
    <w:p>
      <w:pPr>
        <w:pStyle w:val="Normal"/>
        <w:jc w:val="both"/>
        <w:rPr/>
      </w:pPr>
      <w:r>
        <w:rPr/>
      </w:r>
    </w:p>
    <w:p>
      <w:pPr>
        <w:pStyle w:val="Normal"/>
        <w:jc w:val="both"/>
        <w:rPr/>
      </w:pPr>
      <w:r>
        <w:rPr/>
        <w:t xml:space="preserve">For risk management purposes we also need to sensitivity of the MTM value to movements across the credit curve. For a commodity swap, the delta sensitivity is trivial – it’s just the swap’s discounted volume. However for the bankruptcy swap we have the complication that the “discounting” also incorporates part of the credit curve through </w:t>
      </w:r>
      <w:r>
        <w:rPr>
          <w:i/>
        </w:rPr>
        <w:t>cs</w:t>
      </w:r>
      <w:r>
        <w:rPr/>
        <w:t>(</w:t>
      </w:r>
      <w:r>
        <w:rPr>
          <w:i/>
        </w:rPr>
        <w:t>t</w:t>
      </w:r>
      <w:r>
        <w:rPr/>
        <w:t>). An adjustment then needs to be made to account for this, resulting in the delta sensitivities across the curve of:</w:t>
      </w:r>
    </w:p>
    <w:p>
      <w:pPr>
        <w:pStyle w:val="Normal"/>
        <w:jc w:val="both"/>
        <w:rPr/>
      </w:pPr>
      <w:r>
        <w:rPr/>
      </w:r>
    </w:p>
    <w:p>
      <w:pPr>
        <w:pStyle w:val="Normal"/>
        <w:jc w:val="both"/>
        <w:rPr/>
      </w:pPr>
      <w:r>
        <w:rPr/>
        <w:tab/>
      </w:r>
      <w:r>
        <w:rPr/>
      </w:r>
      <m:oMath xmlns:m="http://schemas.openxmlformats.org/officeDocument/2006/math">
        <m:r>
          <m:t xml:space="preserve">Δ</m:t>
        </m:r>
        <m:r>
          <m:t xml:space="preserve">(</m:t>
        </m:r>
        <m:r>
          <m:t xml:space="preserve">t</m:t>
        </m:r>
        <m:r>
          <m:t xml:space="preserve">)</m:t>
        </m:r>
        <m:r>
          <m:t xml:space="preserve">=</m:t>
        </m:r>
        <m:r>
          <m:rPr>
            <m:lit/>
            <m:nor/>
          </m:rPr>
          <m:t xml:space="preserve">cs</m:t>
        </m:r>
        <m:r>
          <m:t xml:space="preserve">(</m:t>
        </m:r>
        <m:r>
          <m:t xml:space="preserve">t</m:t>
        </m:r>
        <m:r>
          <m:t xml:space="preserve">−</m:t>
        </m:r>
        <m:r>
          <m:t xml:space="preserve">1</m:t>
        </m:r>
        <m:r>
          <m:t xml:space="preserve">)</m:t>
        </m:r>
        <m:r>
          <m:rPr>
            <m:lit/>
            <m:nor/>
          </m:rPr>
          <m:t xml:space="preserve">DF</m:t>
        </m:r>
        <m:r>
          <m:t xml:space="preserve">(</m:t>
        </m:r>
        <m:r>
          <m:t xml:space="preserve">t</m:t>
        </m:r>
        <m:r>
          <m:t xml:space="preserve">)</m:t>
        </m:r>
        <m:r>
          <m:t xml:space="preserve">K</m:t>
        </m:r>
        <m:r>
          <m:t xml:space="preserve">+</m:t>
        </m:r>
        <m:r>
          <m:rPr>
            <m:lit/>
            <m:nor/>
          </m:rPr>
          <m:t xml:space="preserve">md</m:t>
        </m:r>
        <m:r>
          <m:t xml:space="preserve">(</m:t>
        </m:r>
        <m:r>
          <m:t xml:space="preserve">t</m:t>
        </m:r>
        <m:r>
          <m:t xml:space="preserve">)</m:t>
        </m:r>
        <m:r>
          <m:t xml:space="preserve">V</m:t>
        </m:r>
        <m:r>
          <m:t xml:space="preserve">(</m:t>
        </m:r>
        <m:r>
          <m:t xml:space="preserve">t</m:t>
        </m:r>
        <m:r>
          <m:t xml:space="preserve">−</m:t>
        </m:r>
        <m:r>
          <m:t xml:space="preserve">1</m:t>
        </m:r>
        <m:r>
          <m:t xml:space="preserve">)</m:t>
        </m:r>
      </m:oMath>
    </w:p>
    <w:p>
      <w:pPr>
        <w:pStyle w:val="Normal"/>
        <w:jc w:val="both"/>
        <w:rPr/>
      </w:pPr>
      <w:r>
        <w:rPr/>
      </w:r>
    </w:p>
    <w:p>
      <w:pPr>
        <w:pStyle w:val="Normal"/>
        <w:jc w:val="both"/>
        <w:rPr/>
      </w:pPr>
      <w:r>
        <w:rPr/>
        <w:t xml:space="preserve">where </w:t>
        <w:tab/>
      </w:r>
      <w:r>
        <w:rPr/>
      </w:r>
      <m:oMath xmlns:m="http://schemas.openxmlformats.org/officeDocument/2006/math">
        <m:r>
          <m:t xml:space="preserve">Δ</m:t>
        </m:r>
        <m:r>
          <m:t xml:space="preserve">(</m:t>
        </m:r>
        <m:r>
          <m:t xml:space="preserve">t</m:t>
        </m:r>
        <m:r>
          <m:t xml:space="preserve">)</m:t>
        </m:r>
        <m:r>
          <m:t xml:space="preserve">=</m:t>
        </m:r>
        <m:f>
          <m:num>
            <m:r>
              <m:t xml:space="preserve">∂</m:t>
            </m:r>
            <m:r>
              <m:t xml:space="preserve">V</m:t>
            </m:r>
          </m:num>
          <m:den>
            <m:r>
              <m:t xml:space="preserve">∂</m:t>
            </m:r>
            <m:r>
              <m:rPr>
                <m:lit/>
                <m:nor/>
              </m:rPr>
              <m:t xml:space="preserve">md</m:t>
            </m:r>
            <m:r>
              <m:t xml:space="preserve">(</m:t>
            </m:r>
            <m:r>
              <m:t xml:space="preserve">t</m:t>
            </m:r>
            <m:r>
              <m:t xml:space="preserve">)</m:t>
            </m:r>
          </m:den>
        </m:f>
      </m:oMath>
    </w:p>
    <w:p>
      <w:pPr>
        <w:pStyle w:val="Normal"/>
        <w:jc w:val="both"/>
        <w:rPr/>
      </w:pPr>
      <w:r>
        <w:rPr/>
      </w:r>
    </w:p>
    <w:p>
      <w:pPr>
        <w:pStyle w:val="Normal"/>
        <w:jc w:val="both"/>
        <w:rPr/>
      </w:pPr>
      <w:r>
        <w:rPr/>
        <w:t>and</w:t>
        <w:tab/>
      </w:r>
      <w:r>
        <w:rPr/>
      </w:r>
      <m:oMath xmlns:m="http://schemas.openxmlformats.org/officeDocument/2006/math">
        <m:r>
          <m:t xml:space="preserve">V</m:t>
        </m:r>
        <m:r>
          <m:t xml:space="preserve">(</m:t>
        </m:r>
        <m:r>
          <m:t xml:space="preserve">t</m:t>
        </m:r>
        <m:r>
          <m:t xml:space="preserve">−</m:t>
        </m:r>
        <m:r>
          <m:t xml:space="preserve">1</m:t>
        </m:r>
        <m:r>
          <m:t xml:space="preserve">)</m:t>
        </m:r>
        <m:r>
          <m:t xml:space="preserve">=</m:t>
        </m:r>
        <m:r>
          <m:t xml:space="preserve">K</m:t>
        </m:r>
        <m:nary>
          <m:naryPr>
            <m:chr m:val="∑"/>
          </m:naryPr>
          <m:sub>
            <m:r>
              <m:t xml:space="preserve">i</m:t>
            </m:r>
            <m:r>
              <m:t xml:space="preserve">=</m:t>
            </m:r>
            <m:r>
              <m:t xml:space="preserve">1</m:t>
            </m:r>
          </m:sub>
          <m:sup>
            <m:r>
              <m:t xml:space="preserve">t</m:t>
            </m:r>
            <m:r>
              <m:t xml:space="preserve">−</m:t>
            </m:r>
            <m:r>
              <m:t xml:space="preserve">1</m:t>
            </m:r>
          </m:sup>
          <m:e>
            <m:r>
              <m:t xml:space="preserve">±</m:t>
            </m:r>
            <m:r>
              <m:t xml:space="preserve">(</m:t>
            </m:r>
            <m:r>
              <m:rPr>
                <m:lit/>
                <m:nor/>
              </m:rPr>
              <m:t xml:space="preserve">md</m:t>
            </m:r>
            <m:r>
              <m:t xml:space="preserve">(</m:t>
            </m:r>
            <m:r>
              <m:t xml:space="preserve">i</m:t>
            </m:r>
            <m:r>
              <m:t xml:space="preserve">)</m:t>
            </m:r>
            <m:r>
              <m:t xml:space="preserve">−</m:t>
            </m:r>
            <m:r>
              <m:t xml:space="preserve">X</m:t>
            </m:r>
            <m:r>
              <m:t xml:space="preserve">)</m:t>
            </m:r>
            <m:r>
              <m:rPr>
                <m:lit/>
                <m:nor/>
              </m:rPr>
              <m:t xml:space="preserve">cs</m:t>
            </m:r>
            <m:r>
              <m:t xml:space="preserve">(</m:t>
            </m:r>
            <m:r>
              <m:t xml:space="preserve">i</m:t>
            </m:r>
            <m:r>
              <m:t xml:space="preserve">−</m:t>
            </m:r>
            <m:r>
              <m:t xml:space="preserve">1</m:t>
            </m:r>
            <m:r>
              <m:t xml:space="preserve">)</m:t>
            </m:r>
            <m:r>
              <m:rPr>
                <m:lit/>
                <m:nor/>
              </m:rPr>
              <m:t xml:space="preserve">DF</m:t>
            </m:r>
            <m:r>
              <m:t xml:space="preserve">(</m:t>
            </m:r>
            <m:r>
              <m:t xml:space="preserve">i</m:t>
            </m:r>
            <m:r>
              <m:t xml:space="preserve">)</m:t>
            </m:r>
          </m:e>
        </m:nary>
      </m:oMath>
    </w:p>
    <w:p>
      <w:pPr>
        <w:pStyle w:val="Normal"/>
        <w:jc w:val="both"/>
        <w:rPr/>
      </w:pPr>
      <w:r>
        <w:rPr/>
      </w:r>
    </w:p>
    <w:p>
      <w:pPr>
        <w:pStyle w:val="Normal"/>
        <w:jc w:val="both"/>
        <w:rPr/>
      </w:pPr>
      <w:r>
        <w:rPr/>
        <w:t xml:space="preserve">The adjustment is then </w:t>
      </w:r>
      <w:r>
        <w:rPr>
          <w:i/>
        </w:rPr>
        <w:t>md</w:t>
      </w:r>
      <w:r>
        <w:rPr/>
        <w:t>(</w:t>
      </w:r>
      <w:r>
        <w:rPr>
          <w:i/>
        </w:rPr>
        <w:t>t</w:t>
      </w:r>
      <w:r>
        <w:rPr/>
        <w:t>)</w:t>
      </w:r>
      <w:r>
        <w:rPr>
          <w:i/>
        </w:rPr>
        <w:t>V</w:t>
      </w:r>
      <w:r>
        <w:rPr/>
        <w:t>(</w:t>
      </w:r>
      <w:r>
        <w:rPr>
          <w:i/>
        </w:rPr>
        <w:t>t</w:t>
      </w:r>
      <w:r>
        <w:rPr/>
        <w:t>-1). See the appendix for this derivation.</w:t>
      </w:r>
    </w:p>
    <w:p>
      <w:pPr>
        <w:pStyle w:val="Normal"/>
        <w:jc w:val="both"/>
        <w:rPr/>
      </w:pPr>
      <w:r>
        <w:rPr/>
      </w:r>
    </w:p>
    <w:p>
      <w:pPr>
        <w:pStyle w:val="Normal"/>
        <w:jc w:val="both"/>
        <w:rPr/>
      </w:pPr>
      <w:r>
        <w:rPr/>
      </w:r>
    </w:p>
    <w:p>
      <w:pPr>
        <w:pStyle w:val="Normal"/>
        <w:numPr>
          <w:ilvl w:val="0"/>
          <w:numId w:val="3"/>
        </w:numPr>
        <w:jc w:val="both"/>
        <w:rPr>
          <w:b/>
        </w:rPr>
      </w:pPr>
      <w:r>
        <w:rPr>
          <w:b/>
        </w:rPr>
        <w:t>PORTFOLIO VALUATION / VALUE-AT-RISK / CREDIT RISK MODELLING</w:t>
      </w:r>
    </w:p>
    <w:p>
      <w:pPr>
        <w:pStyle w:val="Normal"/>
        <w:jc w:val="both"/>
        <w:rPr>
          <w:b/>
        </w:rPr>
      </w:pPr>
      <w:r>
        <w:rPr>
          <w:b/>
        </w:rPr>
      </w:r>
    </w:p>
    <w:p>
      <w:pPr>
        <w:pStyle w:val="Normal"/>
        <w:jc w:val="both"/>
        <w:rPr/>
      </w:pPr>
      <w:r>
        <w:rPr/>
        <w:t>As the credit portfolio grows, we will need to develop a robust portfolio valuation methodology, to facilitate optimisation of the portfolio composition, and to carry out a variety of risk management tasks. Such tasks will include value-at-risk, counterparty credit reserving and stress testing. The key to such a model is the ability to simulate changes in portfolio value arising from credit quality changes. The two possible methodologies for such a model are broadly based upon the two competing credit risk systems – CreditMetrics and CreditRisk+.</w:t>
      </w:r>
    </w:p>
    <w:p>
      <w:pPr>
        <w:pStyle w:val="Normal"/>
        <w:jc w:val="both"/>
        <w:rPr/>
      </w:pPr>
      <w:r>
        <w:rPr/>
      </w:r>
    </w:p>
    <w:p>
      <w:pPr>
        <w:pStyle w:val="Normal"/>
        <w:numPr>
          <w:ilvl w:val="1"/>
          <w:numId w:val="3"/>
        </w:numPr>
        <w:jc w:val="both"/>
        <w:rPr/>
      </w:pPr>
      <w:r>
        <w:rPr>
          <w:b/>
        </w:rPr>
        <w:t>CreditMetrics</w:t>
      </w:r>
    </w:p>
    <w:p>
      <w:pPr>
        <w:pStyle w:val="Normal"/>
        <w:jc w:val="both"/>
        <w:rPr/>
      </w:pPr>
      <w:r>
        <w:rPr/>
      </w:r>
    </w:p>
    <w:p>
      <w:pPr>
        <w:pStyle w:val="Normal"/>
        <w:jc w:val="both"/>
        <w:rPr/>
      </w:pPr>
      <w:r>
        <w:rPr/>
        <w:t>This approach relies upon the use of transition matrices to simulate shifts in credit rating, and asset correlation to supply correlated default times. The transition matrix could be calculated historically (as in CreditMetrics) or implied from bond spreads, as proposed by Lando. The latter approach would be more consistent with the bond-implied approach for building credit curves. One could simulate a credit curve shift by simulating a set of correlated transitions, then map all counterparties onto their new curves</w:t>
      </w:r>
      <w:r>
        <w:rPr>
          <w:rStyle w:val="FootnoteCharacters"/>
          <w:rStyle w:val="FootnoteReference"/>
        </w:rPr>
        <w:footnoteReference w:id="8"/>
      </w:r>
      <w:r>
        <w:rPr/>
        <w:t>, to give a new portfolio valuation. This approach could be used for credit reserve pricing along with portfolio revaluation, by jointly simulating counterparty default times and reference entity credit curve shifts.</w:t>
      </w:r>
    </w:p>
    <w:p>
      <w:pPr>
        <w:pStyle w:val="Normal"/>
        <w:jc w:val="both"/>
        <w:rPr/>
      </w:pPr>
      <w:r>
        <w:rPr/>
      </w:r>
      <w:r>
        <w:br w:type="page"/>
      </w:r>
    </w:p>
    <w:p>
      <w:pPr>
        <w:pStyle w:val="Normal"/>
        <w:numPr>
          <w:ilvl w:val="1"/>
          <w:numId w:val="3"/>
        </w:numPr>
        <w:jc w:val="both"/>
        <w:rPr/>
      </w:pPr>
      <w:r>
        <w:rPr>
          <w:b/>
        </w:rPr>
        <w:t>CreditRisk+</w:t>
      </w:r>
    </w:p>
    <w:p>
      <w:pPr>
        <w:pStyle w:val="Normal"/>
        <w:jc w:val="both"/>
        <w:rPr/>
      </w:pPr>
      <w:r>
        <w:rPr/>
      </w:r>
    </w:p>
    <w:p>
      <w:pPr>
        <w:pStyle w:val="Normal"/>
        <w:jc w:val="both"/>
        <w:rPr/>
      </w:pPr>
      <w:r>
        <w:rPr/>
        <w:t>The second approach relies upon knowledge of a default rate volatility curve, and a distributional assumption regarding the default rate curves. These curves would be simulated using similar methods to those used traditionally for commodity price curves. This approach is more consistent with hazard rate theory, but will be awkward to calibrate, given the illiquidity of the credit curves. It could be combined with the first approach, however, to simulate changes in credit rating, and credit curve shifts simultaneously.</w:t>
      </w:r>
    </w:p>
    <w:p>
      <w:pPr>
        <w:pStyle w:val="Normal"/>
        <w:jc w:val="both"/>
        <w:rPr/>
      </w:pPr>
      <w:r>
        <w:rPr/>
      </w:r>
    </w:p>
    <w:p>
      <w:pPr>
        <w:pStyle w:val="Normal"/>
        <w:jc w:val="both"/>
        <w:rPr/>
      </w:pPr>
      <w:r>
        <w:rPr/>
        <w:t>The approach to be taken for our credit portfolio modelling has yet to be determined, or even examined in any depth. Any further ideas or comments on this subject are welcome. My preference would be for a CreditMetrics-style model, as the methodology is tried and tested, and the underlying maths quite aesthetically pleasing.</w:t>
      </w:r>
      <w:r>
        <w:rPr>
          <w:rStyle w:val="FootnoteCharacters"/>
          <w:rStyle w:val="FootnoteReference"/>
        </w:rPr>
        <w:footnoteReference w:id="9"/>
      </w:r>
      <w:r>
        <w:rPr/>
        <w:t xml:space="preserve"> It also provides a good intuitive framework.</w:t>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b/>
          <w:caps/>
        </w:rPr>
      </w:pPr>
      <w:r>
        <w:rPr>
          <w:b/>
          <w:caps/>
        </w:rPr>
        <w:t>Appendix – Derivation of Delta Sensitivities</w:t>
      </w:r>
    </w:p>
    <w:p>
      <w:pPr>
        <w:pStyle w:val="Normal"/>
        <w:jc w:val="both"/>
        <w:rPr>
          <w:b/>
          <w:caps/>
        </w:rPr>
      </w:pPr>
      <w:r>
        <w:rPr>
          <w:b/>
          <w:caps/>
        </w:rPr>
      </w:r>
    </w:p>
    <w:p>
      <w:pPr>
        <w:pStyle w:val="Normal"/>
        <w:jc w:val="both"/>
        <w:rPr/>
      </w:pPr>
      <w:r>
        <w:rPr/>
        <w:t>The MTM value of the deal is:</w:t>
      </w:r>
    </w:p>
    <w:p>
      <w:pPr>
        <w:pStyle w:val="Normal"/>
        <w:jc w:val="both"/>
        <w:rPr/>
      </w:pPr>
      <w:r>
        <w:rPr/>
        <w:tab/>
      </w:r>
    </w:p>
    <w:p>
      <w:pPr>
        <w:pStyle w:val="Normal"/>
        <w:ind w:firstLine="720" w:end="0"/>
        <w:jc w:val="both"/>
        <w:rPr/>
      </w:pPr>
      <w:r>
        <w:rPr/>
      </w:r>
      <m:oMathPara xmlns:m="http://schemas.openxmlformats.org/officeDocument/2006/math">
        <m:oMathParaPr>
          <m:jc m:val="left"/>
        </m:oMathParaPr>
        <m:oMath>
          <m:r>
            <m:t xml:space="preserve">V</m:t>
          </m:r>
          <m:r>
            <m:t xml:space="preserve">=</m:t>
          </m:r>
          <m:r>
            <m:t xml:space="preserve">K</m:t>
          </m:r>
          <m:nary>
            <m:naryPr>
              <m:chr m:val="∑"/>
            </m:naryPr>
            <m:sub>
              <m:r>
                <m:t xml:space="preserve">i</m:t>
              </m:r>
              <m:r>
                <m:t xml:space="preserve">=</m:t>
              </m:r>
              <m:r>
                <m:t xml:space="preserve">1</m:t>
              </m:r>
            </m:sub>
            <m:sup>
              <m:r>
                <m:t xml:space="preserve">T</m:t>
              </m:r>
            </m:sup>
            <m:e>
              <m:r>
                <m:t xml:space="preserve">±</m:t>
              </m:r>
              <m:r>
                <m:t xml:space="preserve">(</m:t>
              </m:r>
              <m:r>
                <m:rPr>
                  <m:lit/>
                  <m:nor/>
                </m:rPr>
                <m:t xml:space="preserve">md</m:t>
              </m:r>
              <m:r>
                <m:t xml:space="preserve">(</m:t>
              </m:r>
              <m:r>
                <m:t xml:space="preserve">i</m:t>
              </m:r>
              <m:r>
                <m:t xml:space="preserve">)</m:t>
              </m:r>
              <m:r>
                <m:t xml:space="preserve">−</m:t>
              </m:r>
              <m:r>
                <m:t xml:space="preserve">X</m:t>
              </m:r>
              <m:r>
                <m:t xml:space="preserve">)</m:t>
              </m:r>
              <m:r>
                <m:rPr>
                  <m:lit/>
                  <m:nor/>
                </m:rPr>
                <m:t xml:space="preserve">cs</m:t>
              </m:r>
              <m:r>
                <m:t xml:space="preserve">(</m:t>
              </m:r>
              <m:r>
                <m:t xml:space="preserve">i</m:t>
              </m:r>
              <m:r>
                <m:t xml:space="preserve">−</m:t>
              </m:r>
              <m:r>
                <m:t xml:space="preserve">1</m:t>
              </m:r>
              <m:r>
                <m:t xml:space="preserve">)</m:t>
              </m:r>
              <m:r>
                <m:rPr>
                  <m:lit/>
                  <m:nor/>
                </m:rPr>
                <m:t xml:space="preserve">DF</m:t>
              </m:r>
              <m:r>
                <m:t xml:space="preserve">(</m:t>
              </m:r>
              <m:r>
                <m:t xml:space="preserve">i</m:t>
              </m:r>
              <m:r>
                <m:t xml:space="preserve">)</m:t>
              </m:r>
            </m:e>
          </m:nary>
        </m:oMath>
      </m:oMathPara>
    </w:p>
    <w:p>
      <w:pPr>
        <w:pStyle w:val="Normal"/>
        <w:jc w:val="both"/>
        <w:rPr/>
      </w:pPr>
      <w:r>
        <w:rPr/>
      </w:r>
    </w:p>
    <w:p>
      <w:pPr>
        <w:pStyle w:val="Normal"/>
        <w:jc w:val="both"/>
        <w:rPr/>
      </w:pPr>
      <w:r>
        <w:rPr/>
        <w:t>Thus the sensitivity of the MTM value to a single point in the credit curve is:</w:t>
      </w:r>
    </w:p>
    <w:p>
      <w:pPr>
        <w:pStyle w:val="Normal"/>
        <w:jc w:val="both"/>
        <w:rPr/>
      </w:pPr>
      <w:r>
        <w:rPr/>
      </w:r>
    </w:p>
    <w:p>
      <w:pPr>
        <w:pStyle w:val="Normal"/>
        <w:jc w:val="both"/>
        <w:rPr/>
      </w:pPr>
      <w:r>
        <w:rPr/>
        <w:tab/>
      </w:r>
      <w:r>
        <w:rPr/>
      </w:r>
      <m:oMath xmlns:m="http://schemas.openxmlformats.org/officeDocument/2006/math">
        <m:eqArr>
          <m:e>
            <m:r>
              <m:t xml:space="preserve">Δ</m:t>
            </m:r>
            <m:r>
              <m:t xml:space="preserve">(</m:t>
            </m:r>
            <m:r>
              <m:t xml:space="preserve">t</m:t>
            </m:r>
            <m:r>
              <m:t xml:space="preserve">)</m:t>
            </m:r>
            <m:r>
              <m:t xml:space="preserve">=</m:t>
            </m:r>
            <m:f>
              <m:num>
                <m:r>
                  <m:t xml:space="preserve">∂</m:t>
                </m:r>
                <m:r>
                  <m:t xml:space="preserve">V</m:t>
                </m:r>
              </m:num>
              <m:den>
                <m:r>
                  <m:t xml:space="preserve">∂</m:t>
                </m:r>
                <m:r>
                  <m:rPr>
                    <m:lit/>
                    <m:nor/>
                  </m:rPr>
                  <m:t xml:space="preserve">md</m:t>
                </m:r>
                <m:r>
                  <m:t xml:space="preserve">(</m:t>
                </m:r>
                <m:r>
                  <m:t xml:space="preserve">t</m:t>
                </m:r>
                <m:r>
                  <m:t xml:space="preserve">)</m:t>
                </m:r>
              </m:den>
            </m:f>
          </m:e>
          <m:e>
            <m:r>
              <m:t xml:space="preserve">=</m:t>
            </m:r>
            <m:f>
              <m:num>
                <m:r>
                  <m:t xml:space="preserve">∂</m:t>
                </m:r>
              </m:num>
              <m:den>
                <m:r>
                  <m:t xml:space="preserve">∂</m:t>
                </m:r>
                <m:r>
                  <m:rPr>
                    <m:lit/>
                    <m:nor/>
                  </m:rPr>
                  <m:t xml:space="preserve">md</m:t>
                </m:r>
                <m:r>
                  <m:t xml:space="preserve">(</m:t>
                </m:r>
                <m:r>
                  <m:t xml:space="preserve">t</m:t>
                </m:r>
                <m:r>
                  <m:t xml:space="preserve">)</m:t>
                </m:r>
              </m:den>
            </m:f>
            <m:r>
              <m:t xml:space="preserve">K</m:t>
            </m:r>
            <m:nary>
              <m:naryPr>
                <m:chr m:val="∑"/>
              </m:naryPr>
              <m:sub>
                <m:r>
                  <m:t xml:space="preserve">i</m:t>
                </m:r>
                <m:r>
                  <m:t xml:space="preserve">=</m:t>
                </m:r>
                <m:r>
                  <m:t xml:space="preserve">1</m:t>
                </m:r>
              </m:sub>
              <m:sup>
                <m:r>
                  <m:t xml:space="preserve">T</m:t>
                </m:r>
              </m:sup>
              <m:e>
                <m:r>
                  <m:t xml:space="preserve">±</m:t>
                </m:r>
                <m:r>
                  <m:t xml:space="preserve">(</m:t>
                </m:r>
                <m:r>
                  <m:rPr>
                    <m:lit/>
                    <m:nor/>
                  </m:rPr>
                  <m:t xml:space="preserve">md</m:t>
                </m:r>
                <m:r>
                  <m:t xml:space="preserve">(</m:t>
                </m:r>
                <m:r>
                  <m:t xml:space="preserve">i</m:t>
                </m:r>
                <m:r>
                  <m:t xml:space="preserve">)</m:t>
                </m:r>
                <m:r>
                  <m:t xml:space="preserve">−</m:t>
                </m:r>
                <m:r>
                  <m:t xml:space="preserve">X</m:t>
                </m:r>
                <m:r>
                  <m:t xml:space="preserve">)</m:t>
                </m:r>
                <m:r>
                  <m:rPr>
                    <m:lit/>
                    <m:nor/>
                  </m:rPr>
                  <m:t xml:space="preserve">cs</m:t>
                </m:r>
                <m:r>
                  <m:t xml:space="preserve">(</m:t>
                </m:r>
                <m:r>
                  <m:t xml:space="preserve">i</m:t>
                </m:r>
                <m:r>
                  <m:t xml:space="preserve">−</m:t>
                </m:r>
                <m:r>
                  <m:t xml:space="preserve">1</m:t>
                </m:r>
                <m:r>
                  <m:t xml:space="preserve">)</m:t>
                </m:r>
                <m:r>
                  <m:rPr>
                    <m:lit/>
                    <m:nor/>
                  </m:rPr>
                  <m:t xml:space="preserve">DF</m:t>
                </m:r>
                <m:r>
                  <m:t xml:space="preserve">(</m:t>
                </m:r>
                <m:r>
                  <m:t xml:space="preserve">i</m:t>
                </m:r>
                <m:r>
                  <m:t xml:space="preserve">)</m:t>
                </m:r>
              </m:e>
            </m:nary>
          </m:e>
          <m:e>
            <m:r>
              <m:t xml:space="preserve">K</m:t>
            </m:r>
            <m:nary>
              <m:naryPr>
                <m:chr m:val="∑"/>
              </m:naryPr>
              <m:sub>
                <m:r>
                  <m:t xml:space="preserve">i</m:t>
                </m:r>
                <m:r>
                  <m:t xml:space="preserve">=</m:t>
                </m:r>
                <m:r>
                  <m:t xml:space="preserve">1</m:t>
                </m:r>
              </m:sub>
              <m:sup>
                <m:r>
                  <m:t xml:space="preserve">T</m:t>
                </m:r>
              </m:sup>
              <m:e>
                <m:r>
                  <m:t xml:space="preserve">±</m:t>
                </m:r>
                <m:r>
                  <m:t xml:space="preserve">(</m:t>
                </m:r>
                <m:f>
                  <m:num>
                    <m:r>
                      <m:t xml:space="preserve">∂</m:t>
                    </m:r>
                  </m:num>
                  <m:den>
                    <m:r>
                      <m:t xml:space="preserve">∂</m:t>
                    </m:r>
                    <m:r>
                      <m:rPr>
                        <m:lit/>
                        <m:nor/>
                      </m:rPr>
                      <m:t xml:space="preserve">md</m:t>
                    </m:r>
                    <m:r>
                      <m:t xml:space="preserve">(</m:t>
                    </m:r>
                    <m:r>
                      <m:t xml:space="preserve">t</m:t>
                    </m:r>
                    <m:r>
                      <m:t xml:space="preserve">)</m:t>
                    </m:r>
                  </m:den>
                </m:f>
                <m:r>
                  <m:rPr>
                    <m:lit/>
                    <m:nor/>
                  </m:rPr>
                  <m:t xml:space="preserve">md</m:t>
                </m:r>
                <m:r>
                  <m:t xml:space="preserve">(</m:t>
                </m:r>
                <m:r>
                  <m:t xml:space="preserve">i</m:t>
                </m:r>
                <m:r>
                  <m:t xml:space="preserve">)</m:t>
                </m:r>
                <m:r>
                  <m:rPr>
                    <m:lit/>
                    <m:nor/>
                  </m:rPr>
                  <m:t xml:space="preserve">cs</m:t>
                </m:r>
                <m:r>
                  <m:t xml:space="preserve">(</m:t>
                </m:r>
                <m:r>
                  <m:t xml:space="preserve">i</m:t>
                </m:r>
                <m:r>
                  <m:t xml:space="preserve">−</m:t>
                </m:r>
                <m:r>
                  <m:t xml:space="preserve">1</m:t>
                </m:r>
                <m:r>
                  <m:t xml:space="preserve">)</m:t>
                </m:r>
                <m:r>
                  <m:t xml:space="preserve">−</m:t>
                </m:r>
                <m:r>
                  <m:t xml:space="preserve">X</m:t>
                </m:r>
                <m:f>
                  <m:num>
                    <m:r>
                      <m:t xml:space="preserve">∂</m:t>
                    </m:r>
                  </m:num>
                  <m:den>
                    <m:r>
                      <m:t xml:space="preserve">∂</m:t>
                    </m:r>
                    <m:r>
                      <m:rPr>
                        <m:lit/>
                        <m:nor/>
                      </m:rPr>
                      <m:t xml:space="preserve">md</m:t>
                    </m:r>
                    <m:r>
                      <m:t xml:space="preserve">(</m:t>
                    </m:r>
                    <m:r>
                      <m:t xml:space="preserve">t</m:t>
                    </m:r>
                    <m:r>
                      <m:t xml:space="preserve">)</m:t>
                    </m:r>
                  </m:den>
                </m:f>
                <m:r>
                  <m:rPr>
                    <m:lit/>
                    <m:nor/>
                  </m:rPr>
                  <m:t xml:space="preserve">cs</m:t>
                </m:r>
                <m:r>
                  <m:t xml:space="preserve">(</m:t>
                </m:r>
                <m:r>
                  <m:t xml:space="preserve">i</m:t>
                </m:r>
                <m:r>
                  <m:t xml:space="preserve">−</m:t>
                </m:r>
                <m:r>
                  <m:t xml:space="preserve">1</m:t>
                </m:r>
                <m:r>
                  <m:t xml:space="preserve">)</m:t>
                </m:r>
                <m:r>
                  <m:t xml:space="preserve">)</m:t>
                </m:r>
                <m:r>
                  <m:rPr>
                    <m:lit/>
                    <m:nor/>
                  </m:rPr>
                  <m:t xml:space="preserve">DF</m:t>
                </m:r>
                <m:r>
                  <m:t xml:space="preserve">(</m:t>
                </m:r>
                <m:r>
                  <m:t xml:space="preserve">i</m:t>
                </m:r>
                <m:r>
                  <m:t xml:space="preserve">)</m:t>
                </m:r>
              </m:e>
            </m:nary>
          </m:e>
        </m:eqArr>
      </m:oMath>
    </w:p>
    <w:p>
      <w:pPr>
        <w:pStyle w:val="Normal"/>
        <w:jc w:val="both"/>
        <w:rPr/>
      </w:pPr>
      <w:r>
        <w:rPr/>
      </w:r>
    </w:p>
    <w:p>
      <w:pPr>
        <w:pStyle w:val="Normal"/>
        <w:jc w:val="both"/>
        <w:rPr/>
      </w:pPr>
      <w:r>
        <w:rPr/>
        <w:t>Using hazard rate theory the cumulative survival probability can be written as:</w:t>
      </w:r>
    </w:p>
    <w:p>
      <w:pPr>
        <w:pStyle w:val="Normal"/>
        <w:jc w:val="both"/>
        <w:rPr/>
      </w:pPr>
      <w:r>
        <w:rPr/>
      </w:r>
    </w:p>
    <w:p>
      <w:pPr>
        <w:pStyle w:val="Normal"/>
        <w:jc w:val="both"/>
        <w:rPr/>
      </w:pPr>
      <w:r>
        <w:rPr/>
        <w:tab/>
      </w:r>
      <w:r>
        <w:rPr/>
      </w:r>
      <m:oMath xmlns:m="http://schemas.openxmlformats.org/officeDocument/2006/math">
        <m:r>
          <m:rPr>
            <m:lit/>
            <m:nor/>
          </m:rPr>
          <m:t xml:space="preserve">cs</m:t>
        </m:r>
        <m:r>
          <m:t xml:space="preserve">(</m:t>
        </m:r>
        <m:r>
          <m:t xml:space="preserve">i</m:t>
        </m:r>
        <m:r>
          <m:t xml:space="preserve">−</m:t>
        </m:r>
        <m:r>
          <m:t xml:space="preserve">1</m:t>
        </m:r>
        <m:r>
          <m:t xml:space="preserve">)</m:t>
        </m:r>
        <m:r>
          <m:t xml:space="preserve">=</m:t>
        </m:r>
        <m:sSup>
          <m:e>
            <m:r>
              <m:t xml:space="preserve">e</m:t>
            </m:r>
          </m:e>
          <m:sup>
            <m:r>
              <m:t xml:space="preserve">−</m:t>
            </m:r>
            <m:nary>
              <m:naryPr>
                <m:chr m:val="∑"/>
              </m:naryPr>
              <m:sub>
                <m:r>
                  <m:t xml:space="preserve">i</m:t>
                </m:r>
                <m:r>
                  <m:t xml:space="preserve">=</m:t>
                </m:r>
                <m:r>
                  <m:t xml:space="preserve">1</m:t>
                </m:r>
              </m:sub>
              <m:sup>
                <m:r>
                  <m:t xml:space="preserve">i</m:t>
                </m:r>
                <m:r>
                  <m:t xml:space="preserve">−</m:t>
                </m:r>
                <m:r>
                  <m:t xml:space="preserve">1</m:t>
                </m:r>
              </m:sup>
              <m:e>
                <m:r>
                  <m:t xml:space="preserve">h</m:t>
                </m:r>
                <m:r>
                  <m:t xml:space="preserve">(</m:t>
                </m:r>
                <m:r>
                  <m:t xml:space="preserve">j</m:t>
                </m:r>
                <m:r>
                  <m:t xml:space="preserve">)</m:t>
                </m:r>
              </m:e>
            </m:nary>
          </m:sup>
        </m:sSup>
      </m:oMath>
    </w:p>
    <w:p>
      <w:pPr>
        <w:pStyle w:val="Normal"/>
        <w:jc w:val="both"/>
        <w:rPr/>
      </w:pPr>
      <w:r>
        <w:rPr/>
      </w:r>
    </w:p>
    <w:p>
      <w:pPr>
        <w:pStyle w:val="Normal"/>
        <w:jc w:val="both"/>
        <w:rPr/>
      </w:pPr>
      <w:r>
        <w:rPr/>
        <w:t>Now make the approximation:</w:t>
      </w:r>
    </w:p>
    <w:p>
      <w:pPr>
        <w:pStyle w:val="Normal"/>
        <w:jc w:val="both"/>
        <w:rPr/>
      </w:pPr>
      <w:r>
        <w:rPr/>
      </w:r>
    </w:p>
    <w:p>
      <w:pPr>
        <w:pStyle w:val="Normal"/>
        <w:jc w:val="both"/>
        <w:rPr/>
      </w:pPr>
      <w:r>
        <w:rPr/>
        <w:tab/>
      </w:r>
      <w:r>
        <w:rPr/>
      </w:r>
      <m:oMath xmlns:m="http://schemas.openxmlformats.org/officeDocument/2006/math">
        <m:r>
          <m:rPr>
            <m:lit/>
            <m:nor/>
          </m:rPr>
          <m:t xml:space="preserve">md</m:t>
        </m:r>
        <m:r>
          <m:t xml:space="preserve">(</m:t>
        </m:r>
        <m:r>
          <m:t xml:space="preserve">i</m:t>
        </m:r>
        <m:r>
          <m:t xml:space="preserve">)</m:t>
        </m:r>
        <m:r>
          <m:t xml:space="preserve">=</m:t>
        </m:r>
        <m:r>
          <m:t xml:space="preserve">1</m:t>
        </m:r>
        <m:r>
          <m:t xml:space="preserve">−</m:t>
        </m:r>
        <m:sSup>
          <m:e>
            <m:r>
              <m:t xml:space="preserve">e</m:t>
            </m:r>
          </m:e>
          <m:sup>
            <m:r>
              <m:t xml:space="preserve">−</m:t>
            </m:r>
            <m:r>
              <m:t xml:space="preserve">h</m:t>
            </m:r>
            <m:r>
              <m:t xml:space="preserve">(</m:t>
            </m:r>
            <m:r>
              <m:t xml:space="preserve">t</m:t>
            </m:r>
            <m:r>
              <m:t xml:space="preserve">)</m:t>
            </m:r>
          </m:sup>
        </m:sSup>
        <m:r>
          <m:t xml:space="preserve">≈</m:t>
        </m:r>
        <m:r>
          <m:t xml:space="preserve">h</m:t>
        </m:r>
        <m:r>
          <m:t xml:space="preserve">(</m:t>
        </m:r>
        <m:r>
          <m:t xml:space="preserve">t</m:t>
        </m:r>
        <m:r>
          <m:t xml:space="preserve">)</m:t>
        </m:r>
      </m:oMath>
    </w:p>
    <w:p>
      <w:pPr>
        <w:pStyle w:val="Normal"/>
        <w:jc w:val="both"/>
        <w:rPr/>
      </w:pPr>
      <w:r>
        <w:rPr/>
      </w:r>
    </w:p>
    <w:p>
      <w:pPr>
        <w:pStyle w:val="Normal"/>
        <w:jc w:val="both"/>
        <w:rPr/>
      </w:pPr>
      <w:r>
        <w:rPr/>
        <w:t xml:space="preserve">This approximation is commonly used within the theory of hazard rates and Poisson processes. In theory the “credit curve” should consist of hazard rates, not marginal default rates, so delta should be the derivative with respect to </w:t>
      </w:r>
      <w:r>
        <w:rPr>
          <w:i/>
        </w:rPr>
        <w:t>h</w:t>
      </w:r>
      <w:r>
        <w:rPr/>
        <w:t>(</w:t>
      </w:r>
      <w:r>
        <w:rPr>
          <w:i/>
        </w:rPr>
        <w:t>t</w:t>
      </w:r>
      <w:r>
        <w:rPr/>
        <w:t xml:space="preserve">), not </w:t>
      </w:r>
      <w:r>
        <w:rPr>
          <w:i/>
        </w:rPr>
        <w:t>md</w:t>
      </w:r>
      <w:r>
        <w:rPr/>
        <w:t>(</w:t>
      </w:r>
      <w:r>
        <w:rPr>
          <w:i/>
        </w:rPr>
        <w:t>t</w:t>
      </w:r>
      <w:r>
        <w:rPr/>
        <w:t>). The approximation merely reverses the implicit approximation made in constructing the curve in the first place.</w:t>
      </w:r>
    </w:p>
    <w:p>
      <w:pPr>
        <w:pStyle w:val="Normal"/>
        <w:jc w:val="both"/>
        <w:rPr/>
      </w:pPr>
      <w:r>
        <w:rPr/>
      </w:r>
    </w:p>
    <w:p>
      <w:pPr>
        <w:pStyle w:val="Normal"/>
        <w:jc w:val="both"/>
        <w:rPr/>
      </w:pPr>
      <w:r>
        <w:rPr/>
        <w:tab/>
      </w:r>
      <w:r>
        <w:rPr/>
      </w:r>
      <m:oMath xmlns:m="http://schemas.openxmlformats.org/officeDocument/2006/math">
        <m:eqArr>
          <m:e>
            <m:f>
              <m:num>
                <m:r>
                  <m:t xml:space="preserve">∂</m:t>
                </m:r>
              </m:num>
              <m:den>
                <m:r>
                  <m:t xml:space="preserve">∂</m:t>
                </m:r>
                <m:r>
                  <m:rPr>
                    <m:lit/>
                    <m:nor/>
                  </m:rPr>
                  <m:t xml:space="preserve">md</m:t>
                </m:r>
                <m:r>
                  <m:t xml:space="preserve">(</m:t>
                </m:r>
                <m:r>
                  <m:t xml:space="preserve">t</m:t>
                </m:r>
                <m:r>
                  <m:t xml:space="preserve">)</m:t>
                </m:r>
              </m:den>
            </m:f>
            <m:r>
              <m:rPr>
                <m:lit/>
                <m:nor/>
              </m:rPr>
              <m:t xml:space="preserve">cs</m:t>
            </m:r>
            <m:r>
              <m:t xml:space="preserve">(</m:t>
            </m:r>
            <m:r>
              <m:t xml:space="preserve">i</m:t>
            </m:r>
            <m:r>
              <m:t xml:space="preserve">−</m:t>
            </m:r>
            <m:r>
              <m:t xml:space="preserve">1</m:t>
            </m:r>
            <m:r>
              <m:t xml:space="preserve">)</m:t>
            </m:r>
            <m:r>
              <m:t xml:space="preserve">=</m:t>
            </m:r>
            <m:f>
              <m:num>
                <m:r>
                  <m:t xml:space="preserve">∂</m:t>
                </m:r>
              </m:num>
              <m:den>
                <m:r>
                  <m:t xml:space="preserve">∂</m:t>
                </m:r>
                <m:r>
                  <m:t xml:space="preserve">h</m:t>
                </m:r>
                <m:r>
                  <m:t xml:space="preserve">(</m:t>
                </m:r>
                <m:r>
                  <m:t xml:space="preserve">t</m:t>
                </m:r>
                <m:r>
                  <m:t xml:space="preserve">)</m:t>
                </m:r>
              </m:den>
            </m:f>
            <m:sSup>
              <m:e>
                <m:r>
                  <m:t xml:space="preserve">e</m:t>
                </m:r>
              </m:e>
              <m:sup>
                <m:r>
                  <m:t xml:space="preserve">−</m:t>
                </m:r>
                <m:nary>
                  <m:naryPr>
                    <m:chr m:val="∑"/>
                  </m:naryPr>
                  <m:sub>
                    <m:r>
                      <m:t xml:space="preserve">i</m:t>
                    </m:r>
                    <m:r>
                      <m:t xml:space="preserve">=</m:t>
                    </m:r>
                    <m:r>
                      <m:t xml:space="preserve">1</m:t>
                    </m:r>
                  </m:sub>
                  <m:sup>
                    <m:r>
                      <m:t xml:space="preserve">i</m:t>
                    </m:r>
                    <m:r>
                      <m:t xml:space="preserve">−</m:t>
                    </m:r>
                    <m:r>
                      <m:t xml:space="preserve">1</m:t>
                    </m:r>
                  </m:sup>
                  <m:e>
                    <m:r>
                      <m:t xml:space="preserve">h</m:t>
                    </m:r>
                    <m:r>
                      <m:t xml:space="preserve">(</m:t>
                    </m:r>
                    <m:r>
                      <m:t xml:space="preserve">j</m:t>
                    </m:r>
                    <m:r>
                      <m:t xml:space="preserve">)</m:t>
                    </m:r>
                  </m:e>
                </m:nary>
              </m:sup>
            </m:sSup>
          </m:e>
          <m:e>
            <m:r>
              <m:t xml:space="preserve">=</m:t>
            </m:r>
            <m:r>
              <m:t xml:space="preserve">h</m:t>
            </m:r>
            <m:r>
              <m:t xml:space="preserve">(</m:t>
            </m:r>
            <m:r>
              <m:t xml:space="preserve">t</m:t>
            </m:r>
            <m:r>
              <m:t xml:space="preserve">)</m:t>
            </m:r>
            <m:sSup>
              <m:e>
                <m:r>
                  <m:t xml:space="preserve">e</m:t>
                </m:r>
              </m:e>
              <m:sup>
                <m:r>
                  <m:t xml:space="preserve">−</m:t>
                </m:r>
                <m:nary>
                  <m:naryPr>
                    <m:chr m:val="∑"/>
                  </m:naryPr>
                  <m:sub>
                    <m:r>
                      <m:t xml:space="preserve">i</m:t>
                    </m:r>
                    <m:r>
                      <m:t xml:space="preserve">=</m:t>
                    </m:r>
                    <m:r>
                      <m:t xml:space="preserve">1</m:t>
                    </m:r>
                  </m:sub>
                  <m:sup>
                    <m:r>
                      <m:t xml:space="preserve">i</m:t>
                    </m:r>
                    <m:r>
                      <m:t xml:space="preserve">−</m:t>
                    </m:r>
                    <m:r>
                      <m:t xml:space="preserve">1</m:t>
                    </m:r>
                  </m:sup>
                  <m:e>
                    <m:r>
                      <m:t xml:space="preserve">h</m:t>
                    </m:r>
                    <m:r>
                      <m:t xml:space="preserve">(</m:t>
                    </m:r>
                    <m:r>
                      <m:t xml:space="preserve">j</m:t>
                    </m:r>
                    <m:r>
                      <m:t xml:space="preserve">)</m:t>
                    </m:r>
                  </m:e>
                </m:nary>
              </m:sup>
            </m:sSup>
          </m:e>
          <m:e>
            <m:r>
              <m:t xml:space="preserve">=</m:t>
            </m:r>
            <m:r>
              <m:rPr>
                <m:lit/>
                <m:nor/>
              </m:rPr>
              <m:t xml:space="preserve">md</m:t>
            </m:r>
            <m:r>
              <m:t xml:space="preserve">(</m:t>
            </m:r>
            <m:r>
              <m:t xml:space="preserve">t</m:t>
            </m:r>
            <m:r>
              <m:t xml:space="preserve">)</m:t>
            </m:r>
            <m:r>
              <m:rPr>
                <m:lit/>
                <m:nor/>
              </m:rPr>
              <m:t xml:space="preserve">cs</m:t>
            </m:r>
            <m:r>
              <m:t xml:space="preserve">(</m:t>
            </m:r>
            <m:r>
              <m:t xml:space="preserve">i</m:t>
            </m:r>
            <m:r>
              <m:t xml:space="preserve">−</m:t>
            </m:r>
            <m:r>
              <m:t xml:space="preserve">1</m:t>
            </m:r>
            <m:r>
              <m:t xml:space="preserve">)</m:t>
            </m:r>
          </m:e>
        </m:eqArr>
      </m:oMath>
    </w:p>
    <w:p>
      <w:pPr>
        <w:pStyle w:val="Normal"/>
        <w:jc w:val="both"/>
        <w:rPr/>
      </w:pPr>
      <w:r>
        <w:rPr/>
      </w:r>
    </w:p>
    <w:p>
      <w:pPr>
        <w:pStyle w:val="Normal"/>
        <w:jc w:val="both"/>
        <w:rPr/>
      </w:pPr>
      <w:r>
        <w:rPr/>
        <w:t xml:space="preserve">This only applies if </w:t>
      </w:r>
      <w:r>
        <w:rPr>
          <w:i/>
        </w:rPr>
        <w:t>i</w:t>
      </w:r>
      <w:r>
        <w:rPr/>
        <w:t xml:space="preserve"> &lt; </w:t>
      </w:r>
      <w:r>
        <w:rPr>
          <w:i/>
        </w:rPr>
        <w:t>t.</w:t>
      </w:r>
      <w:r>
        <w:rPr/>
        <w:t xml:space="preserve"> If </w:t>
      </w:r>
      <w:r>
        <w:rPr>
          <w:i/>
        </w:rPr>
        <w:t>i</w:t>
      </w:r>
      <w:r>
        <w:rPr/>
        <w:t xml:space="preserve"> </w:t>
      </w:r>
      <w:r>
        <w:rPr>
          <w:rFonts w:eastAsia="Symbol" w:cs="Symbol" w:ascii="Symbol" w:hAnsi="Symbol"/>
        </w:rPr>
        <w:sym w:font="Symbol" w:char="f0b3"/>
      </w:r>
      <w:r>
        <w:rPr/>
        <w:t xml:space="preserve"> </w:t>
      </w:r>
      <w:r>
        <w:rPr>
          <w:i/>
        </w:rPr>
        <w:t>t</w:t>
      </w:r>
      <w:r>
        <w:rPr/>
        <w:t xml:space="preserve"> then the result is 0.</w:t>
      </w:r>
    </w:p>
    <w:p>
      <w:pPr>
        <w:pStyle w:val="Normal"/>
        <w:jc w:val="both"/>
        <w:rPr/>
      </w:pPr>
      <w:r>
        <w:rPr/>
      </w:r>
    </w:p>
    <w:p>
      <w:pPr>
        <w:pStyle w:val="Normal"/>
        <w:jc w:val="both"/>
        <w:rPr/>
      </w:pPr>
      <w:r>
        <w:rPr/>
        <w:t>Now for the first differential term:</w:t>
      </w:r>
    </w:p>
    <w:p>
      <w:pPr>
        <w:pStyle w:val="Normal"/>
        <w:jc w:val="both"/>
        <w:rPr/>
      </w:pPr>
      <w:r>
        <w:rPr/>
      </w:r>
    </w:p>
    <w:p>
      <w:pPr>
        <w:pStyle w:val="Normal"/>
        <w:jc w:val="both"/>
        <w:rPr/>
      </w:pPr>
      <w:r>
        <w:rPr/>
        <w:tab/>
      </w:r>
      <w:r>
        <w:rPr/>
      </w:r>
      <m:oMath xmlns:m="http://schemas.openxmlformats.org/officeDocument/2006/math">
        <m:eqArr>
          <m:e>
            <m:f>
              <m:num>
                <m:r>
                  <m:t xml:space="preserve">∂</m:t>
                </m:r>
              </m:num>
              <m:den>
                <m:r>
                  <m:t xml:space="preserve">∂</m:t>
                </m:r>
                <m:r>
                  <m:rPr>
                    <m:lit/>
                    <m:nor/>
                  </m:rPr>
                  <m:t xml:space="preserve">md</m:t>
                </m:r>
                <m:r>
                  <m:t xml:space="preserve">(</m:t>
                </m:r>
                <m:r>
                  <m:t xml:space="preserve">t</m:t>
                </m:r>
                <m:r>
                  <m:t xml:space="preserve">)</m:t>
                </m:r>
              </m:den>
            </m:f>
            <m:r>
              <m:rPr>
                <m:lit/>
                <m:nor/>
              </m:rPr>
              <m:t xml:space="preserve">md</m:t>
            </m:r>
            <m:r>
              <m:t xml:space="preserve">(</m:t>
            </m:r>
            <m:r>
              <m:t xml:space="preserve">i</m:t>
            </m:r>
            <m:r>
              <m:t xml:space="preserve">)</m:t>
            </m:r>
            <m:r>
              <m:rPr>
                <m:lit/>
                <m:nor/>
              </m:rPr>
              <m:t xml:space="preserve">cs</m:t>
            </m:r>
            <m:r>
              <m:t xml:space="preserve">(</m:t>
            </m:r>
            <m:r>
              <m:t xml:space="preserve">i</m:t>
            </m:r>
            <m:r>
              <m:t xml:space="preserve">−</m:t>
            </m:r>
            <m:r>
              <m:t xml:space="preserve">1</m:t>
            </m:r>
            <m:r>
              <m:t xml:space="preserve">)</m:t>
            </m:r>
            <m:r>
              <m:t xml:space="preserve">=</m:t>
            </m:r>
            <m:r>
              <m:rPr>
                <m:lit/>
                <m:nor/>
              </m:rPr>
              <m:t xml:space="preserve">md</m:t>
            </m:r>
            <m:r>
              <m:t xml:space="preserve">(</m:t>
            </m:r>
            <m:r>
              <m:t xml:space="preserve">i</m:t>
            </m:r>
            <m:r>
              <m:t xml:space="preserve">)</m:t>
            </m:r>
            <m:f>
              <m:num>
                <m:r>
                  <m:t xml:space="preserve">∂</m:t>
                </m:r>
              </m:num>
              <m:den>
                <m:r>
                  <m:t xml:space="preserve">∂</m:t>
                </m:r>
                <m:r>
                  <m:t xml:space="preserve">h</m:t>
                </m:r>
                <m:r>
                  <m:t xml:space="preserve">(</m:t>
                </m:r>
                <m:r>
                  <m:t xml:space="preserve">t</m:t>
                </m:r>
                <m:r>
                  <m:t xml:space="preserve">)</m:t>
                </m:r>
              </m:den>
            </m:f>
            <m:r>
              <m:rPr>
                <m:lit/>
                <m:nor/>
              </m:rPr>
              <m:t xml:space="preserve">cs</m:t>
            </m:r>
            <m:r>
              <m:t xml:space="preserve">(</m:t>
            </m:r>
            <m:r>
              <m:t xml:space="preserve">i</m:t>
            </m:r>
            <m:r>
              <m:t xml:space="preserve">−</m:t>
            </m:r>
            <m:r>
              <m:t xml:space="preserve">1</m:t>
            </m:r>
            <m:r>
              <m:t xml:space="preserve">)</m:t>
            </m:r>
            <m:r>
              <m:t xml:space="preserve">+</m:t>
            </m:r>
            <m:r>
              <m:rPr>
                <m:lit/>
                <m:nor/>
              </m:rPr>
              <m:t xml:space="preserve">cs</m:t>
            </m:r>
            <m:r>
              <m:t xml:space="preserve">(</m:t>
            </m:r>
            <m:r>
              <m:t xml:space="preserve">i</m:t>
            </m:r>
            <m:r>
              <m:t xml:space="preserve">−</m:t>
            </m:r>
            <m:r>
              <m:t xml:space="preserve">1</m:t>
            </m:r>
            <m:r>
              <m:t xml:space="preserve">)</m:t>
            </m:r>
            <m:f>
              <m:num>
                <m:r>
                  <m:t xml:space="preserve">∂</m:t>
                </m:r>
              </m:num>
              <m:den>
                <m:r>
                  <m:t xml:space="preserve">∂</m:t>
                </m:r>
                <m:r>
                  <m:t xml:space="preserve">h</m:t>
                </m:r>
                <m:r>
                  <m:t xml:space="preserve">(</m:t>
                </m:r>
                <m:r>
                  <m:t xml:space="preserve">t</m:t>
                </m:r>
                <m:r>
                  <m:t xml:space="preserve">)</m:t>
                </m:r>
              </m:den>
            </m:f>
            <m:r>
              <m:rPr>
                <m:lit/>
                <m:nor/>
              </m:rPr>
              <m:t xml:space="preserve">md</m:t>
            </m:r>
            <m:r>
              <m:t xml:space="preserve">(</m:t>
            </m:r>
            <m:r>
              <m:t xml:space="preserve">i</m:t>
            </m:r>
            <m:r>
              <m:t xml:space="preserve">)</m:t>
            </m:r>
          </m:e>
          <m:e>
            <m:r>
              <m:t xml:space="preserve">=</m:t>
            </m:r>
            <m:r>
              <m:rPr>
                <m:lit/>
                <m:nor/>
              </m:rPr>
              <m:t xml:space="preserve">md</m:t>
            </m:r>
            <m:r>
              <m:t xml:space="preserve">(</m:t>
            </m:r>
            <m:r>
              <m:t xml:space="preserve">i</m:t>
            </m:r>
            <m:r>
              <m:t xml:space="preserve">)</m:t>
            </m:r>
            <m:r>
              <m:rPr>
                <m:lit/>
                <m:nor/>
              </m:rPr>
              <m:t xml:space="preserve">md</m:t>
            </m:r>
            <m:r>
              <m:t xml:space="preserve">(</m:t>
            </m:r>
            <m:r>
              <m:t xml:space="preserve">t</m:t>
            </m:r>
            <m:r>
              <m:t xml:space="preserve">)</m:t>
            </m:r>
            <m:r>
              <m:rPr>
                <m:lit/>
                <m:nor/>
              </m:rPr>
              <m:t xml:space="preserve">cs</m:t>
            </m:r>
            <m:r>
              <m:t xml:space="preserve">(</m:t>
            </m:r>
            <m:r>
              <m:t xml:space="preserve">i</m:t>
            </m:r>
            <m:r>
              <m:t xml:space="preserve">−</m:t>
            </m:r>
            <m:r>
              <m:t xml:space="preserve">1</m:t>
            </m:r>
            <m:r>
              <m:t xml:space="preserve">)</m:t>
            </m:r>
            <m:r>
              <m:rPr>
                <m:lit/>
                <m:nor/>
              </m:rPr>
              <m:t xml:space="preserve">             if </m:t>
            </m:r>
            <m:r>
              <m:t xml:space="preserve">i</m:t>
            </m:r>
            <m:r>
              <m:t xml:space="preserve">&lt;</m:t>
            </m:r>
            <m:r>
              <m:t xml:space="preserve">t</m:t>
            </m:r>
          </m:e>
          <m:e>
            <m:r>
              <m:t xml:space="preserve">=</m:t>
            </m:r>
            <m:r>
              <m:rPr>
                <m:lit/>
                <m:nor/>
              </m:rPr>
              <m:t xml:space="preserve">cs</m:t>
            </m:r>
            <m:r>
              <m:t xml:space="preserve">(</m:t>
            </m:r>
            <m:r>
              <m:t xml:space="preserve">i</m:t>
            </m:r>
            <m:r>
              <m:t xml:space="preserve">−</m:t>
            </m:r>
            <m:r>
              <m:t xml:space="preserve">1</m:t>
            </m:r>
            <m:r>
              <m:t xml:space="preserve">)</m:t>
            </m:r>
            <m:r>
              <m:rPr>
                <m:lit/>
                <m:nor/>
              </m:rPr>
              <m:t xml:space="preserve">                               if </m:t>
            </m:r>
            <m:r>
              <m:t xml:space="preserve">i</m:t>
            </m:r>
            <m:r>
              <m:t xml:space="preserve">=</m:t>
            </m:r>
            <m:r>
              <m:t xml:space="preserve">t</m:t>
            </m:r>
          </m:e>
          <m:e>
            <m:r>
              <m:t xml:space="preserve">=</m:t>
            </m:r>
            <m:r>
              <m:t xml:space="preserve">0</m:t>
            </m:r>
            <m:r>
              <m:rPr>
                <m:lit/>
                <m:nor/>
              </m:rPr>
              <m:t xml:space="preserve">                                         if </m:t>
            </m:r>
            <m:r>
              <m:t xml:space="preserve">i</m:t>
            </m:r>
            <m:r>
              <m:t xml:space="preserve">&gt;</m:t>
            </m:r>
            <m:r>
              <m:t xml:space="preserve">t</m:t>
            </m:r>
          </m:e>
        </m:eqArr>
      </m:oMath>
    </w:p>
    <w:p>
      <w:pPr>
        <w:pStyle w:val="Normal"/>
        <w:jc w:val="both"/>
        <w:rPr/>
      </w:pPr>
      <w:r>
        <w:rPr/>
      </w:r>
    </w:p>
    <w:p>
      <w:pPr>
        <w:pStyle w:val="Normal"/>
        <w:jc w:val="both"/>
        <w:rPr/>
      </w:pPr>
      <w:r>
        <w:rPr/>
        <w:t>Combining this all together gives:</w:t>
      </w:r>
    </w:p>
    <w:p>
      <w:pPr>
        <w:pStyle w:val="Normal"/>
        <w:jc w:val="both"/>
        <w:rPr>
          <w:color w:val="000000"/>
          <w:lang w:val="en-AU" w:eastAsia="en-US"/>
        </w:rPr>
      </w:pPr>
      <w:r>
        <w:rPr>
          <w:color w:val="000000"/>
          <w:lang w:val="en-AU" w:eastAsia="en-US"/>
        </w:rPr>
        <w:drawing>
          <wp:inline distT="0" distB="0" distL="0" distR="0">
            <wp:extent cx="5257800" cy="1155700"/>
            <wp:effectExtent l="0" t="0" r="0" b="0"/>
            <wp:docPr id="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title=""/>
                    <pic:cNvPicPr>
                      <a:picLocks noChangeAspect="1" noChangeArrowheads="1"/>
                    </pic:cNvPicPr>
                  </pic:nvPicPr>
                  <pic:blipFill>
                    <a:blip r:embed="rId2"/>
                    <a:srcRect l="-7" t="-31" r="-7" b="-31"/>
                    <a:stretch>
                      <a:fillRect/>
                    </a:stretch>
                  </pic:blipFill>
                  <pic:spPr bwMode="auto">
                    <a:xfrm>
                      <a:off x="0" y="0"/>
                      <a:ext cx="5257800" cy="1155700"/>
                    </a:xfrm>
                    <a:prstGeom prst="rect">
                      <a:avLst/>
                    </a:prstGeom>
                    <a:noFill/>
                  </pic:spPr>
                </pic:pic>
              </a:graphicData>
            </a:graphic>
          </wp:inline>
        </w:drawing>
      </w:r>
    </w:p>
    <w:p>
      <w:pPr>
        <w:pStyle w:val="Normal"/>
        <w:jc w:val="both"/>
        <w:rPr/>
      </w:pPr>
      <w:r>
        <w:rPr/>
      </w:r>
    </w:p>
    <w:p>
      <w:pPr>
        <w:pStyle w:val="Normal"/>
        <w:jc w:val="both"/>
        <w:rPr/>
      </w:pPr>
      <w:r>
        <w:rPr/>
        <w:t>as required.</w:t>
      </w:r>
    </w:p>
    <w:p>
      <w:pPr>
        <w:pStyle w:val="Normal"/>
        <w:jc w:val="both"/>
        <w:rPr/>
      </w:pPr>
      <w:r>
        <w:rPr/>
      </w:r>
      <w:r>
        <w:br w:type="page"/>
      </w:r>
    </w:p>
    <w:p>
      <w:pPr>
        <w:pStyle w:val="Normal"/>
        <w:jc w:val="both"/>
        <w:rPr>
          <w:b/>
          <w:caps/>
        </w:rPr>
      </w:pPr>
      <w:r>
        <w:rPr>
          <w:b/>
          <w:caps/>
        </w:rPr>
        <w:t>References</w:t>
      </w:r>
    </w:p>
    <w:p>
      <w:pPr>
        <w:pStyle w:val="Normal"/>
        <w:jc w:val="both"/>
        <w:rPr>
          <w:b/>
          <w:caps/>
        </w:rPr>
      </w:pPr>
      <w:r>
        <w:rPr>
          <w:b/>
          <w:caps/>
        </w:rPr>
      </w:r>
    </w:p>
    <w:p>
      <w:pPr>
        <w:pStyle w:val="Normal"/>
        <w:jc w:val="both"/>
        <w:rPr/>
      </w:pPr>
      <w:r>
        <w:rPr/>
        <w:t>Duffie and Singleton, “Simulating Correlated Defaults”, Sept 98, Working Paper, Stanford University</w:t>
      </w:r>
    </w:p>
    <w:p>
      <w:pPr>
        <w:pStyle w:val="Normal"/>
        <w:jc w:val="both"/>
        <w:rPr/>
      </w:pPr>
      <w:r>
        <w:rPr/>
      </w:r>
    </w:p>
    <w:p>
      <w:pPr>
        <w:pStyle w:val="Normal"/>
        <w:jc w:val="both"/>
        <w:rPr/>
      </w:pPr>
      <w:r>
        <w:rPr/>
        <w:t>Lando, “Some Elements of Rating-Based Credit Risk Modeling”, Feb 99, Working Paper, University of Copenhagen, Denmark</w:t>
      </w:r>
    </w:p>
    <w:sectPr>
      <w:footerReference w:type="default" r:id="rId3"/>
      <w:footnotePr>
        <w:numFmt w:val="decimal"/>
      </w:footnotePr>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64135" cy="146685"/>
              <wp:effectExtent l="0" t="0" r="0" b="0"/>
              <wp:wrapSquare wrapText="bothSides"/>
              <wp:docPr id="10" name="Frame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05.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Discounting is generally done at LIBOR, not using the riskfree rate, as LIBOR represents cost of funds.</w:t>
      </w:r>
    </w:p>
  </w:footnote>
  <w:footnote w:id="3">
    <w:p>
      <w:pPr>
        <w:pStyle w:val="FootnoteText"/>
        <w:rPr/>
      </w:pPr>
      <w:r>
        <w:rPr>
          <w:rStyle w:val="FootnoteCharacters"/>
        </w:rPr>
        <w:footnoteRef/>
      </w:r>
      <w:r>
        <w:rPr/>
        <w:t xml:space="preserve"> </w:t>
      </w:r>
      <w:r>
        <w:rPr/>
        <w:t>We use the terms default and bankruptcy interchangeably throughout this paper. Default simply refers to the particular credit event, which in this case is bankruptcy.</w:t>
      </w:r>
    </w:p>
  </w:footnote>
  <w:footnote w:id="4">
    <w:p>
      <w:pPr>
        <w:pStyle w:val="FootnoteText"/>
        <w:rPr/>
      </w:pPr>
      <w:r>
        <w:rPr>
          <w:rStyle w:val="FootnoteCharacters"/>
        </w:rPr>
        <w:footnoteRef/>
      </w:r>
      <w:r>
        <w:rPr/>
        <w:t xml:space="preserve"> </w:t>
      </w:r>
      <w:r>
        <w:rPr/>
        <w:t>These “basis point prices” need to be scaled up by 10000. This scaling is omitted to avoid lengthy formulas.</w:t>
      </w:r>
    </w:p>
  </w:footnote>
  <w:footnote w:id="5">
    <w:p>
      <w:pPr>
        <w:pStyle w:val="FootnoteText"/>
        <w:rPr/>
      </w:pPr>
      <w:r>
        <w:rPr>
          <w:rStyle w:val="FootnoteCharacters"/>
        </w:rPr>
        <w:footnoteRef/>
      </w:r>
      <w:r>
        <w:rPr/>
        <w:t xml:space="preserve"> </w:t>
      </w:r>
      <w:r>
        <w:rPr/>
        <w:t>The hazard rate is approximately equal to the one-period marginal default probability.</w:t>
      </w:r>
    </w:p>
  </w:footnote>
  <w:footnote w:id="6">
    <w:p>
      <w:pPr>
        <w:pStyle w:val="FootnoteText"/>
        <w:rPr/>
      </w:pPr>
      <w:r>
        <w:rPr>
          <w:rStyle w:val="FootnoteCharacters"/>
        </w:rPr>
        <w:footnoteRef/>
      </w:r>
      <w:r>
        <w:rPr/>
        <w:t xml:space="preserve"> </w:t>
      </w:r>
      <w:r>
        <w:rPr/>
        <w:t>In the case of zero bond recovery, the hazard rate actually equals the credit spread (see Lando).</w:t>
      </w:r>
    </w:p>
  </w:footnote>
  <w:footnote w:id="7">
    <w:p>
      <w:pPr>
        <w:pStyle w:val="FootnoteText"/>
        <w:rPr/>
      </w:pPr>
      <w:r>
        <w:rPr>
          <w:rStyle w:val="FootnoteCharacters"/>
        </w:rPr>
        <w:footnoteRef/>
      </w:r>
      <w:r>
        <w:rPr/>
        <w:t xml:space="preserve"> </w:t>
      </w:r>
      <w:r>
        <w:rPr/>
        <w:t>This implementation has yet to be done.</w:t>
      </w:r>
    </w:p>
  </w:footnote>
  <w:footnote w:id="8">
    <w:p>
      <w:pPr>
        <w:pStyle w:val="FootnoteText"/>
        <w:rPr/>
      </w:pPr>
      <w:r>
        <w:rPr>
          <w:rStyle w:val="FootnoteCharacters"/>
        </w:rPr>
        <w:footnoteRef/>
      </w:r>
      <w:r>
        <w:rPr/>
        <w:t xml:space="preserve"> </w:t>
      </w:r>
      <w:r>
        <w:rPr/>
        <w:t>Example: XYZ has a credit rating of A-, the A- FMC curve is 80 bps, and XYZ’s specific curve is 85bps. We simulate an upgrade to A, which is trading at 72 bps. Then the new XYZ curve will trade at 72 + FMC spread = 72 + (85-80) = 77 bps.</w:t>
      </w:r>
    </w:p>
  </w:footnote>
  <w:footnote w:id="9">
    <w:p>
      <w:pPr>
        <w:pStyle w:val="FootnoteText"/>
        <w:rPr/>
      </w:pPr>
      <w:r>
        <w:rPr>
          <w:rStyle w:val="FootnoteCharacters"/>
        </w:rPr>
        <w:footnoteRef/>
      </w:r>
      <w:r>
        <w:rPr/>
        <w:t xml:space="preserve"> </w:t>
      </w:r>
      <w:r>
        <w:rPr/>
        <w:t>My MSc dissertation was on pricing credit derivatives using transition matrices.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8"/>
      <w:numFmt w:val="decimal"/>
      <w:lvlText w:val="%1."/>
      <w:lvlJc w:val="start"/>
      <w:pPr>
        <w:tabs>
          <w:tab w:val="num" w:pos="720"/>
        </w:tabs>
        <w:ind w:start="720" w:hanging="720"/>
      </w:pPr>
      <w:rPr/>
    </w:lvl>
    <w:lvl w:ilvl="1">
      <w:start w:val="1"/>
      <w:isLgl/>
      <w:numFmt w:val="decimal"/>
      <w:lvlText w:val="%1.%2"/>
      <w:lvlJc w:val="start"/>
      <w:pPr>
        <w:tabs>
          <w:tab w:val="num" w:pos="720"/>
        </w:tabs>
        <w:ind w:start="720" w:hanging="720"/>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720"/>
        </w:tabs>
        <w:ind w:start="720" w:hanging="72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080"/>
        </w:tabs>
        <w:ind w:start="1080" w:hanging="1080"/>
      </w:pPr>
      <w:rPr>
        <w:b/>
      </w:rPr>
    </w:lvl>
    <w:lvl w:ilvl="7">
      <w:start w:val="1"/>
      <w:isLgl/>
      <w:numFmt w:val="decimal"/>
      <w:lvlText w:val="%1.%2.%3.%4.%5.%6.%7.%8"/>
      <w:lvlJc w:val="start"/>
      <w:pPr>
        <w:tabs>
          <w:tab w:val="num" w:pos="1440"/>
        </w:tabs>
        <w:ind w:start="1440" w:hanging="1440"/>
      </w:pPr>
      <w:rPr>
        <w:b/>
      </w:rPr>
    </w:lvl>
    <w:lvl w:ilvl="8">
      <w:start w:val="1"/>
      <w:isLgl/>
      <w:numFmt w:val="decimal"/>
      <w:lvlText w:val="%1.%2.%3.%4.%5.%6.%7.%8.%9"/>
      <w:lvlJc w:val="start"/>
      <w:pPr>
        <w:tabs>
          <w:tab w:val="num" w:pos="1440"/>
        </w:tabs>
        <w:ind w:start="1440" w:hanging="144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i/>
      <w:smallCaps/>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center"/>
      <w:outlineLvl w:val="2"/>
    </w:pPr>
    <w:rPr>
      <w:sz w:val="28"/>
    </w:rPr>
  </w:style>
  <w:style w:type="character" w:styleId="WW8Num1z0">
    <w:name w:val="WW8Num1z0"/>
    <w:qFormat/>
    <w:rPr/>
  </w:style>
  <w:style w:type="character" w:styleId="WW8Num2z0">
    <w:name w:val="WW8Num2z0"/>
    <w:qFormat/>
    <w:rPr/>
  </w:style>
  <w:style w:type="character" w:styleId="WW8Num2z1">
    <w:name w:val="WW8Num2z1"/>
    <w:qFormat/>
    <w:rPr>
      <w:b/>
    </w:rPr>
  </w:style>
  <w:style w:type="character" w:styleId="WW8Num4z0">
    <w:name w:val="WW8Num4z0"/>
    <w:qFormat/>
    <w:rPr>
      <w:rFonts w:ascii="Wingdings" w:hAnsi="Wingdings" w:cs="Wingdings"/>
      <w:i/>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2000-01-04T10:24:00Z</dcterms:created>
  <dc:creator>Administrator</dc:creator>
  <dc:description/>
  <dc:language>en-CA</dc:language>
  <cp:lastModifiedBy>BParsons</cp:lastModifiedBy>
  <cp:lastPrinted>2000-01-17T15:59:00Z</cp:lastPrinted>
  <dcterms:modified xsi:type="dcterms:W3CDTF">2000-01-17T15:09:00Z</dcterms:modified>
  <cp:revision>50</cp:revision>
  <dc:subject/>
  <dc:title/>
</cp:coreProperties>
</file>