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CREDIT MARGINING ANALYSIS:  MOVING FINANCIAL TRADES INTO EPMI TO OFFSET POSITIONS FOR COLLATERAL POSTING REQUIREMENTS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NOTE:  PRIOR TO CONSUMMATION OF ANY ASSIGNMENTS, WE SHOULD CHECK WITH TAX COUNSEL, ESPECIALLY WHERE CROSS BORDER TO CANADA.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ISDA CONTRACTS: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 of same counterparty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 Duke Energy Trading and Marketing, L.L.C.: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Requires Duke consent, if to Affiliate and provide CSP (ENRON) reaffirmation of Guaranty, then not to be unreasonably withheld.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PG&amp;E Energy Trading Power, L.P.:  No master; omnibus confirm applies:  standard allows transfer to a not materially weaker Affiliate in same tax jurisdiction.  In order to get adequate value we would have to go to multiple counterparty entities, requiring counterparty entities’ cooperation.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 Sempra Energy Trading Corp.:  Requires consent.  Further, in order to realize adequate value we would have to go to multiple counterparty entities, requiring counterparty entities’ cooperation.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sz w:val="20"/>
      </w:rPr>
      <w:t>/mnt/main-storage/datasets/enron-docs/doc/Credit_Margining_Analysis.doc</w:t>
    </w:r>
    <w:r>
      <w:rPr>
        <w:sz w:val="2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2000-12-07T20:23:00Z</dcterms:created>
  <dc:creator>mcook</dc:creator>
  <dc:description/>
  <dc:language>en-CA</dc:language>
  <cp:lastModifiedBy>mcook</cp:lastModifiedBy>
  <cp:lastPrinted>2000-12-08T09:42:00Z</cp:lastPrinted>
  <dcterms:modified xsi:type="dcterms:W3CDTF">2000-12-08T13:12:00Z</dcterms:modified>
  <cp:revision>9</cp:revision>
  <dc:subject/>
  <dc:title/>
</cp:coreProperties>
</file>