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Arial" w:hAnsi="Arial" w:cs="Arial"/>
          <w:b/>
        </w:rPr>
      </w:pPr>
      <w:r>
        <w:rPr>
          <w:rFonts w:cs="Arial" w:ascii="Arial" w:hAnsi="Arial"/>
          <w:b/>
        </w:rPr>
      </w:r>
      <w:bookmarkStart w:id="0" w:name="QuickMark"/>
      <w:bookmarkStart w:id="1" w:name="QuickMark"/>
      <w:bookmarkEnd w:id="1"/>
    </w:p>
    <w:p>
      <w:pPr>
        <w:pStyle w:val="Normal"/>
        <w:widowControl/>
        <w:jc w:val="center"/>
        <w:rPr>
          <w:rFonts w:ascii="Arial" w:hAnsi="Arial" w:cs="Arial"/>
          <w:b/>
        </w:rPr>
      </w:pPr>
      <w:r>
        <w:rPr>
          <w:rFonts w:cs="Arial" w:ascii="Arial" w:hAnsi="Arial"/>
          <w:b/>
        </w:rPr>
        <w:t>POLICIES AND PROCEDURES REGARDING</w:t>
      </w:r>
    </w:p>
    <w:p>
      <w:pPr>
        <w:pStyle w:val="Normal"/>
        <w:widowControl/>
        <w:jc w:val="center"/>
        <w:rPr>
          <w:rFonts w:ascii="Arial" w:hAnsi="Arial" w:cs="Arial"/>
          <w:b/>
        </w:rPr>
      </w:pPr>
      <w:r>
        <w:rPr>
          <w:rFonts w:cs="Arial" w:ascii="Arial" w:hAnsi="Arial"/>
          <w:b/>
        </w:rPr>
        <w:t>CONFIDENTIAL INFORMATION</w:t>
      </w:r>
    </w:p>
    <w:p>
      <w:pPr>
        <w:pStyle w:val="Normal"/>
        <w:widowControl/>
        <w:jc w:val="center"/>
        <w:rPr>
          <w:rFonts w:ascii="Arial" w:hAnsi="Arial" w:cs="Arial"/>
        </w:rPr>
      </w:pPr>
      <w:r>
        <w:rPr>
          <w:rFonts w:cs="Arial" w:ascii="Arial" w:hAnsi="Arial"/>
          <w:b/>
        </w:rPr>
        <w:t>IN CONNECTION WITH CREDIT DERIVATIVES</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widowControl/>
        <w:tabs>
          <w:tab w:val="clear" w:pos="720"/>
          <w:tab w:val="right" w:pos="9360" w:leader="none"/>
        </w:tabs>
        <w:jc w:val="both"/>
        <w:rPr/>
      </w:pPr>
      <w:r>
        <w:rPr>
          <w:rFonts w:cs="Arial" w:ascii="Arial" w:hAnsi="Arial"/>
        </w:rPr>
        <w:tab/>
        <w:t>22</w:t>
      </w:r>
      <w:r>
        <w:rPr>
          <w:rFonts w:cs="Arial" w:ascii="Arial" w:hAnsi="Arial"/>
          <w:vertAlign w:val="superscript"/>
        </w:rPr>
        <w:t>nd</w:t>
      </w:r>
      <w:r>
        <w:rPr>
          <w:rFonts w:cs="Arial" w:ascii="Arial" w:hAnsi="Arial"/>
        </w:rPr>
        <w:t xml:space="preserve"> February, 2000</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b/>
          <w:u w:val="single"/>
        </w:rPr>
        <w:t>INTRODUCTION</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 xml:space="preserve">This document sets forth the policies and procedures of Enron with respect to the protection of confidential information and related matters in connection with the trading of credit derivatives and similar credit products (referred to generically in this document as “Credit Derivatives”) offered by Enron’s credit trading team.  From time to time, it is possible that Enron will be in possession of confidential information regarding the entities on which Credit Derivatives are traded (the “Reference Entities”).  For example, business units or affiliates of Enron that are not involved in the Credit Derivatives business may have trading or lending relationships with the Reference Entities that result in Enron obtaining confidential information regarding such Entities.  Enron may also have investments in, or enter into or contemplate entering into transactions with, Reference Entities.  Moreover, Enron may enter into confidentiality agreements with Reference Entities that restrict its use of information it obtains from such Reference Entities.  In any of these instances, Enron may have certain obligations to protect the confidentiality of information regarding the Reference Entities.  In addition, Enron’s possession of confidential information regarding Reference Entities potentially exposes Enron to various types of liability under applicable securities laws and common law in connection with its trading of Credit Derivatives.  These policies and procedures are designed to protect confidential information regarding Reference Entities that may be in Enron’s possession and to reduce Enron’s potential exposure to liability as a result of its possession of such information.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b/>
          <w:i/>
          <w:i/>
        </w:rPr>
      </w:pPr>
      <w:r>
        <w:rPr>
          <w:rFonts w:cs="Arial" w:ascii="Arial" w:hAnsi="Arial"/>
          <w:b/>
          <w:i/>
        </w:rPr>
        <w:t>Each Enron employee in the Credit Derivatives group is expected to be familiar with, and to comply with, the policies and procedures in this document. Carefully review this document; then send an email or memo to Paul Simons in Enron Europe’s Legal Department confirming that you have understood and will comply with its contents.</w:t>
      </w:r>
    </w:p>
    <w:p>
      <w:pPr>
        <w:pStyle w:val="Normal"/>
        <w:widowControl/>
        <w:jc w:val="both"/>
        <w:rPr>
          <w:rFonts w:ascii="Arial" w:hAnsi="Arial" w:cs="Arial"/>
          <w:b/>
          <w:i/>
          <w:i/>
        </w:rPr>
      </w:pPr>
      <w:r>
        <w:rPr>
          <w:rFonts w:cs="Arial" w:ascii="Arial" w:hAnsi="Arial"/>
          <w:b/>
          <w:i/>
        </w:rPr>
      </w:r>
    </w:p>
    <w:p>
      <w:pPr>
        <w:sectPr>
          <w:headerReference w:type="default" r:id="rId2"/>
          <w:footerReference w:type="default" r:id="rId3"/>
          <w:type w:val="nextPage"/>
          <w:pgSz w:w="12240" w:h="15840"/>
          <w:pgMar w:left="144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pPr>
      <w:r>
        <w:rPr>
          <w:rFonts w:cs="Arial" w:ascii="Arial" w:hAnsi="Arial"/>
        </w:rPr>
        <w:t xml:space="preserve">You must comply with the policies and procedures outlined in this document.  However, you are not expected to attempt to solve complex legal issues or to resolve uncertainty as to the meaning or application of legal concepts.  </w:t>
      </w:r>
      <w:r>
        <w:rPr>
          <w:rFonts w:cs="Arial" w:ascii="Arial" w:hAnsi="Arial"/>
          <w:b/>
          <w:u w:val="single"/>
        </w:rPr>
        <w:t>The Legal Department should always be consulted to resolve any questions you may have regarding the legality of a proposed course of action</w:t>
      </w:r>
      <w:r>
        <w:rPr>
          <w:rFonts w:cs="Arial" w:ascii="Arial" w:hAnsi="Arial"/>
        </w:rPr>
        <w:t>.</w:t>
      </w:r>
    </w:p>
    <w:p>
      <w:pPr>
        <w:pStyle w:val="Normal"/>
        <w:widowControl/>
        <w:ind w:firstLine="1440" w:end="0"/>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If any employee becomes aware of an actual or suspected violation of these policies and procedures, he or she must promptly report the relevant facts to the Compliance Department or the Enron Legal Department.  Any violation of Enron's policies may subject the person involved to disciplinary action, including dismissal.  Such a violation may also involve civil liability and could constitute the commission of a criminal offence.</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These policies and procedures supplement, but are not a substitute for and do not replace, the policies and procedures generally applicable to the trading of securities on behalf of Enron and the protection of confidential information by Enron.  In particular, but without limitation, Enron has adopted policies and procedures in connection with the trading of securities that are separate from, although similar in certain respects to, these policies and procedures.  These policies and procedures, therefore, should be reviewed in conjunction with Enron’s general policies in this area or other specific policies to which individual employees or business units may be subject.</w:t>
      </w:r>
    </w:p>
    <w:p>
      <w:pPr>
        <w:pStyle w:val="Normal"/>
        <w:widowControl/>
        <w:jc w:val="both"/>
        <w:rPr>
          <w:rFonts w:ascii="Arial" w:hAnsi="Arial" w:cs="Arial"/>
        </w:rPr>
      </w:pPr>
      <w:r>
        <w:rPr>
          <w:rFonts w:cs="Arial" w:ascii="Arial" w:hAnsi="Arial"/>
        </w:rPr>
      </w:r>
    </w:p>
    <w:p>
      <w:pPr>
        <w:pStyle w:val="Normal"/>
        <w:widowControl/>
        <w:ind w:firstLine="1440" w:end="0"/>
        <w:jc w:val="both"/>
        <w:rPr/>
      </w:pPr>
      <w:r>
        <w:rPr>
          <w:rFonts w:cs="Arial" w:ascii="Arial" w:hAnsi="Arial"/>
        </w:rPr>
        <w:t xml:space="preserve">The policies and procedures outlined in this document are also in addition to those set forth in Enron Corp.'s </w:t>
      </w:r>
      <w:r>
        <w:rPr>
          <w:rFonts w:cs="Arial" w:ascii="Arial" w:hAnsi="Arial"/>
          <w:i/>
        </w:rPr>
        <w:t>Conduct of Business Affairs</w:t>
      </w:r>
      <w:r>
        <w:rPr>
          <w:rFonts w:cs="Arial" w:ascii="Arial" w:hAnsi="Arial"/>
        </w:rPr>
        <w:t xml:space="preserve">.  The policies described in the </w:t>
      </w:r>
      <w:r>
        <w:rPr>
          <w:rFonts w:cs="Arial" w:ascii="Arial" w:hAnsi="Arial"/>
          <w:i/>
        </w:rPr>
        <w:t>Conduct of Business Affairs</w:t>
      </w:r>
      <w:r>
        <w:rPr>
          <w:rFonts w:cs="Arial" w:ascii="Arial" w:hAnsi="Arial"/>
        </w:rPr>
        <w:t xml:space="preserve"> apply to all Enron employees and relate to securities trades by personnel, the confidentiality, ownership and protection of information, and the investments and outside business interests of employees.  Moreover, in some instances, additional guidelines will be put into place with respect to certain transactions and with respect to certain divisions, affiliates, or work groups.</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b/>
          <w:u w:val="single"/>
        </w:rPr>
        <w:t>NOTIFICATION OF REFERENCE ENTITIES</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 xml:space="preserve">Before a company becomes a Reference Entity on which Credit Derivatives are traded, Enron will send a written notice to the company advising it that it will be included on the list of Reference Entities.  In addition, in certain cases, Enron may request the written consent of a company to its inclusion as a Reference Entity.  The determination as to whether consent will be requested will be made by the Compliance Department, in consultation with the Legal Department.  No company may be listed as a Reference Entity until the notice has been sent and, if consent is required, such consent has been obtained. </w:t>
      </w:r>
    </w:p>
    <w:p>
      <w:pPr>
        <w:pStyle w:val="Normal"/>
        <w:widowControl/>
        <w:jc w:val="both"/>
        <w:rPr>
          <w:rFonts w:ascii="Arial" w:hAnsi="Arial" w:cs="Arial"/>
        </w:rPr>
      </w:pPr>
      <w:r>
        <w:rPr>
          <w:rFonts w:cs="Arial" w:ascii="Arial" w:hAnsi="Arial"/>
        </w:rPr>
      </w:r>
    </w:p>
    <w:p>
      <w:pPr>
        <w:sectPr>
          <w:type w:val="continuous"/>
          <w:pgSz w:w="12240" w:h="15840"/>
          <w:pgMar w:left="1440" w:right="1440" w:gutter="0" w:header="720" w:top="776" w:footer="964" w:bottom="1020"/>
          <w:formProt w:val="false"/>
          <w:textDirection w:val="lrTb"/>
          <w:docGrid w:type="default" w:linePitch="360" w:charSpace="0"/>
        </w:sectPr>
      </w:pPr>
    </w:p>
    <w:p>
      <w:pPr>
        <w:pStyle w:val="Normal"/>
        <w:widowControl/>
        <w:jc w:val="both"/>
        <w:rPr>
          <w:rFonts w:ascii="Arial" w:hAnsi="Arial" w:cs="Arial"/>
        </w:rPr>
      </w:pPr>
      <w:r>
        <w:rPr>
          <w:rFonts w:cs="Arial" w:ascii="Arial" w:hAnsi="Arial"/>
          <w:b/>
          <w:u w:val="single"/>
        </w:rPr>
        <w:t xml:space="preserve">TREATMENT OF CONFIDENTIAL INFORMATION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Credit Derivatives Personnel must treat and deal with confidential information regarding Reference Entities in a careful and prudent manner.  Set forth below are the general guidelines and restrictions to be followed in connection with confidential information regarding Reference Entities that is in Enron’s possession.</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i/>
          <w:i/>
          <w:u w:val="single"/>
        </w:rPr>
      </w:pPr>
      <w:r>
        <w:rPr>
          <w:rFonts w:cs="Arial" w:ascii="Arial" w:hAnsi="Arial"/>
          <w:i/>
          <w:u w:val="single"/>
        </w:rPr>
      </w:r>
    </w:p>
    <w:p>
      <w:pPr>
        <w:pStyle w:val="Normal"/>
        <w:widowControl/>
        <w:ind w:firstLine="1440" w:end="0"/>
        <w:jc w:val="both"/>
        <w:rPr>
          <w:rFonts w:ascii="Arial" w:hAnsi="Arial" w:cs="Arial"/>
          <w:i/>
          <w:i/>
          <w:u w:val="single"/>
        </w:rPr>
      </w:pPr>
      <w:r>
        <w:rPr>
          <w:rFonts w:cs="Arial" w:ascii="Arial" w:hAnsi="Arial"/>
          <w:i/>
          <w:u w:val="single"/>
        </w:rPr>
      </w:r>
    </w:p>
    <w:p>
      <w:pPr>
        <w:pStyle w:val="Normal"/>
        <w:widowControl/>
        <w:ind w:firstLine="1440" w:end="0"/>
        <w:jc w:val="both"/>
        <w:rPr>
          <w:rFonts w:ascii="Arial" w:hAnsi="Arial" w:cs="Arial"/>
        </w:rPr>
      </w:pPr>
      <w:r>
        <w:rPr>
          <w:rFonts w:cs="Arial" w:ascii="Arial" w:hAnsi="Arial"/>
          <w:i/>
          <w:u w:val="single"/>
        </w:rPr>
        <w:t>General; Definitions</w:t>
      </w:r>
      <w:r>
        <w:rPr>
          <w:rFonts w:cs="Arial" w:ascii="Arial" w:hAnsi="Arial"/>
          <w:i/>
        </w:rPr>
        <w: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For purposes of these policies and procedures, the term “confidential information” includes information regarding a Reference Entity or a counterparty that is (1) material and non</w:t>
        <w:noBreakHyphen/>
        <w:t xml:space="preserve">public (as such terms are defined below); (2) subject to a confidentiality agreement or other contractual restriction on the use of such information by Enron; or (3) otherwise obtained by Enron in a context that imposes on Enron a duty to refrain from disclosing such information to third parties (for example, if the information is provided to Enron with the expectation that it will be kept confidential or if the general nature of Enron’s relationship with the Reference Entity results in the Reference Entity having a reasonable expectation of confidentiality).  Information within the third category may be confidential event thought it is not “material”, and could not be expected to affect the price of the Reference Entity’s securities or Credit Derivatives on such Reference Entity.  In case of any doubt as to whether information is confidential, the Legal Department should be consulted.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 xml:space="preserve">"Material information" is any information that a reasonable person would consider important in evaluating the creditworthiness of a Reference Entity or in determining whether to buy, hold, or sell securities of the Reference Entity and that, therefore, could reasonably be expected to affect the price of such securities.  Information may be material for this purpose even if it would not be the sole basis for the evaluation or investment decision.  Either positive or negative information may be material. </w:t>
      </w:r>
    </w:p>
    <w:p>
      <w:pPr>
        <w:pStyle w:val="Normal"/>
        <w:widowControl/>
        <w:jc w:val="both"/>
        <w:rPr>
          <w:rFonts w:ascii="Arial" w:hAnsi="Arial" w:cs="Arial"/>
        </w:rPr>
      </w:pPr>
      <w:r>
        <w:rPr>
          <w:rFonts w:cs="Arial" w:ascii="Arial" w:hAnsi="Arial"/>
        </w:rPr>
      </w:r>
    </w:p>
    <w:p>
      <w:pPr>
        <w:pStyle w:val="Normal"/>
        <w:widowControl/>
        <w:ind w:firstLine="1440" w:end="0"/>
        <w:jc w:val="both"/>
        <w:rPr/>
      </w:pPr>
      <w:r>
        <w:rPr>
          <w:rFonts w:cs="Arial" w:ascii="Arial" w:hAnsi="Arial"/>
        </w:rPr>
        <w:t xml:space="preserve">Examples of information that might be regarded as material include:  positive or negative changes in the creditworthiness of a client or Reference Entity, including without limitation impending bankruptcy or liquidity problems; information regarding a Reference Entity’s trading activities or market positions; major litigation; the gain or loss of a substantial customer or supplier; and important new contracts; projections of future earnings or losses; information regarding a potential, pending or proposed merger, acquisition, or tender offer; information regarding a significant sale of assets or the disposition of a subsidiary; changes in dividend policies or the offering of additional securities; changes in key management; or significant new products or discoveries.  The foregoing list is by no means exclusive.  </w:t>
      </w:r>
      <w:r>
        <w:rPr>
          <w:rFonts w:cs="Arial" w:ascii="Arial" w:hAnsi="Arial"/>
          <w:u w:val="single"/>
        </w:rPr>
        <w:t>The particular fact situation will determine whether information is material</w:t>
      </w:r>
      <w:r>
        <w:rPr>
          <w:rFonts w:cs="Arial" w:ascii="Arial" w:hAnsi="Arial"/>
        </w:rPr>
        <w:t>.</w:t>
      </w:r>
    </w:p>
    <w:p>
      <w:pPr>
        <w:pStyle w:val="Normal"/>
        <w:widowControl/>
        <w:jc w:val="both"/>
        <w:rPr>
          <w:rFonts w:ascii="Arial" w:hAnsi="Arial" w:cs="Arial"/>
        </w:rPr>
      </w:pPr>
      <w:r>
        <w:rPr>
          <w:rFonts w:cs="Arial" w:ascii="Arial" w:hAnsi="Arial"/>
        </w:rPr>
      </w:r>
    </w:p>
    <w:p>
      <w:pPr>
        <w:sectPr>
          <w:type w:val="continuous"/>
          <w:pgSz w:w="12240" w:h="15840"/>
          <w:pgMar w:left="1440" w:right="1440" w:gutter="0" w:header="720" w:top="776" w:footer="964" w:bottom="1020"/>
          <w:formProt w:val="false"/>
          <w:textDirection w:val="lrTb"/>
          <w:docGrid w:type="default" w:linePitch="360" w:charSpace="0"/>
        </w:sectPr>
      </w:pPr>
    </w:p>
    <w:p>
      <w:pPr>
        <w:pStyle w:val="Normal"/>
        <w:widowControl/>
        <w:ind w:firstLine="1440" w:end="0"/>
        <w:jc w:val="both"/>
        <w:rPr/>
      </w:pPr>
      <w:r>
        <w:rPr>
          <w:rFonts w:cs="Arial" w:ascii="Arial" w:hAnsi="Arial"/>
        </w:rPr>
        <w:t>Information is "non</w:t>
        <w:noBreakHyphen/>
        <w:t>public" until it has been disseminated in a manner sufficient to ensure its availability to the investing public.  This requirement is typically satisfied by distribution via a press release carried over a major news service, dissemination over a widely</w:t>
        <w:noBreakHyphen/>
        <w:t>utilized electronic medium (</w:t>
      </w:r>
      <w:r>
        <w:rPr>
          <w:rFonts w:cs="Arial" w:ascii="Arial" w:hAnsi="Arial"/>
          <w:i/>
        </w:rPr>
        <w:t>e.g.</w:t>
      </w:r>
      <w:r>
        <w:rPr>
          <w:rFonts w:cs="Arial" w:ascii="Arial" w:hAnsi="Arial"/>
        </w:rPr>
        <w:t>, Bloomberg), publication in widely circulated newspapers and magazines, or a filing with the Securities and Exchange Commission or another regulatory agency, if the contents of such filing are available to the general public.  However, even after such information is publicly released, it is possible that it will not be deemed to be public for a period of time thereafter.</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 xml:space="preserve">The determination as to whether information regarding a Reference Entity is confidential involves difficult and complex legal judgments.  Any questions as to whether particular information regarding a Reference Entity or a counterparty is confidential information should be directed to the Legal or Compliance Department in London or in Houston. </w:t>
      </w:r>
      <w:r>
        <w:rPr>
          <w:rFonts w:cs="Arial" w:ascii="Arial" w:hAnsi="Arial"/>
          <w:b/>
        </w:rPr>
        <w:t>In general, however, all information about any Reference Entities, and all information received from Reference Entities, should be presumed to be confidential unless the contrary is clear.</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i/>
          <w:u w:val="single"/>
        </w:rPr>
        <w:t>General Procedures for Safeguarding Confidentiality</w:t>
      </w:r>
      <w:r>
        <w:rPr>
          <w:rFonts w:cs="Arial" w:ascii="Arial" w:hAnsi="Arial"/>
          <w:i/>
        </w:rPr>
        <w: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 xml:space="preserve">In connection with the trading of Credit Derivatives, as in all other activities related to customers or counterparties, Enron employees should adhere to the basic guidelines and restrictions outlined below to protect confidential information.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1.</w:t>
        <w:tab/>
        <w:t>Confidential information regarding Reference Entities should not be communicated to anyone other than Enron employees and our outside lawyers, accountants and advisors.  Moreover, confidential information should be communicated to those persons only if and when the recipient has a legitimate need to know such information in connection with his or her duties.</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2.</w:t>
        <w:tab/>
        <w:t>Whenever you communicate confidential information to someone to whom you are permitted to provide it under these policies and procedures, inform that person that the information is confidential and give instructions about the limitations on further dissemination.</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3.</w:t>
        <w:tab/>
        <w:t>Avoid discussing confidential information in public places such as hallways, elevators, office reception areas, social gatherings, restaurants, hotel lobbies, airplanes, buses, trains, taxi cabs and other public transportation vehicles.</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4.</w:t>
        <w:tab/>
        <w:t>Avoid the use of speakerphones in circumstances where confidential information may be overheard.  If a speakerphone must be utilized, ensure that the volume is not unnecessarily loud and that the office door is closed.  Use mobile telephones with care and circumspection.  They are not secure.</w:t>
      </w:r>
    </w:p>
    <w:p>
      <w:pPr>
        <w:pStyle w:val="Normal"/>
        <w:widowControl/>
        <w:jc w:val="both"/>
        <w:rPr>
          <w:rFonts w:ascii="Arial" w:hAnsi="Arial" w:cs="Arial"/>
        </w:rPr>
      </w:pPr>
      <w:r>
        <w:rPr>
          <w:rFonts w:cs="Arial" w:ascii="Arial" w:hAnsi="Arial"/>
        </w:rPr>
      </w:r>
    </w:p>
    <w:p>
      <w:pPr>
        <w:sectPr>
          <w:type w:val="continuous"/>
          <w:pgSz w:w="12240" w:h="15840"/>
          <w:pgMar w:left="1440" w:right="1440" w:gutter="0" w:header="720" w:top="776" w:footer="964" w:bottom="1020"/>
          <w:formProt w:val="false"/>
          <w:textDirection w:val="lrTb"/>
          <w:docGrid w:type="default" w:linePitch="360" w:charSpace="0"/>
        </w:sectPr>
      </w:pPr>
    </w:p>
    <w:p>
      <w:pPr>
        <w:pStyle w:val="Normal"/>
        <w:widowControl/>
        <w:ind w:firstLine="1440" w:end="0"/>
        <w:jc w:val="both"/>
        <w:rPr>
          <w:rFonts w:ascii="Arial" w:hAnsi="Arial" w:cs="Arial"/>
        </w:rPr>
      </w:pPr>
      <w:r>
        <w:rPr>
          <w:rFonts w:cs="Arial" w:ascii="Arial" w:hAnsi="Arial"/>
        </w:rPr>
        <w:t>5.</w:t>
        <w:tab/>
        <w:t xml:space="preserve">If information is the subject of a confidentiality agreement, care must be exercised to comply with the specific terms of that agreement.  </w:t>
      </w:r>
      <w:r>
        <w:rPr>
          <w:rFonts w:cs="Arial" w:ascii="Arial" w:hAnsi="Arial"/>
          <w:i/>
        </w:rPr>
        <w:t>All confidentiality agreements should be reviewed by the Legal Department prior to execution.</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6.</w:t>
        <w:tab/>
        <w:t>Avoid placing confidential documents in office areas where they may be read by unauthorized persons, and store confidential documents in secure locations.  Do not leave them exposed overnight on desks, printers, fax machines or in work rooms.</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7.</w:t>
        <w:tab/>
        <w:t>Avoid unnecessary copying of confidential documents.  If possible, use copying services inside Enron if confidential information is involved.  If you need to use outside copying services, consider whether additional safeguards are appropriate, such as obtaining a confidentiality agreement from the service vendor.</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8.</w:t>
        <w:tab/>
        <w:t>Maintain confidential databases and other confidential information accessible by computer in computer files that are password protected or otherwise secure against access by unauthorized persons.</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9.</w:t>
        <w:tab/>
        <w:t>Avoid communicating confidential information by fax or E</w:t>
        <w:noBreakHyphen/>
        <w:t>mail.  Before telecopying or E</w:t>
        <w:noBreakHyphen/>
        <w:t>mailing confidential documents or information, you should either remove or redact the confidential information or insure that the intended recipient is attending the machine that will receive the transmission.</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10.</w:t>
        <w:tab/>
        <w:t>Destroy or return confidential documents no longer needed and not otherwise required to be maintained by law.</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b/>
          <w:u w:val="single"/>
        </w:rPr>
        <w:t>CHINESE WALL PROCEDURES</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i/>
          <w:u w:val="single"/>
        </w:rPr>
        <w:t>Need for Informational Walls</w:t>
      </w:r>
      <w:r>
        <w:rPr>
          <w:rFonts w:cs="Arial" w:ascii="Arial" w:hAnsi="Arial"/>
          <w:i/>
        </w:rPr>
        <w: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In order to reduce the risk of transmission of confidential information, Enron will, to the extent feasible, separate personnel involved in the trading and pricing of Credit Derivatives (“Credit Derivatives Personnel”) from personnel (“Other Trading Personnel”) involved in the trading of any other products or instruments, including securities, energy products, bandwidth and related derivatives.  Such a separation, which is commonly referred to as a “Chinese Wall”, facilitates Enron’s ability to prevent the flow of confidential information from Other Trading Personnel to Credit Derivatives Personnel.  In addition, if it is ever alleged that Enron improperly used confidential information in connection with its Credit Derivatives trading, the existence and enforcement of the Chinese Wall procedures supports Enron’s ability to rebut such an allegation.</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 xml:space="preserve">Accordingly, Enron is instituting the Chinese Wall procedures set forth below with respect to the Credit Derivatives business.  All Credit Derivatives Personnel must comply with these procedures at all times.  In addition, all Other Trading Personnel must comply with these procedures in connection with their dealings with Credit Derivatives Personnel.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Of course, if Credit Derivatives Personnel become aware of confidential information regarding a Reference Entity, notwithstanding the Chinese Wall procedures, it may nevertheless be necessary to cease trading in Credit Derivatives on such Reference Entity, as set forth below with respect to the Restricted List procedures.</w:t>
      </w:r>
    </w:p>
    <w:p>
      <w:pPr>
        <w:pStyle w:val="Normal"/>
        <w:widowControl/>
        <w:jc w:val="both"/>
        <w:rPr>
          <w:rFonts w:ascii="Arial" w:hAnsi="Arial" w:cs="Arial"/>
        </w:rPr>
      </w:pPr>
      <w:r>
        <w:rPr>
          <w:rFonts w:eastAsia="Arial" w:cs="Arial" w:ascii="Arial" w:hAnsi="Arial"/>
        </w:rPr>
        <w:t xml:space="preserve"> </w:t>
      </w:r>
      <w:r>
        <w:rPr>
          <w:rFonts w:cs="Arial" w:ascii="Arial" w:hAnsi="Arial"/>
        </w:rPr>
        <w:tab/>
        <w:tab/>
      </w:r>
    </w:p>
    <w:p>
      <w:pPr>
        <w:pStyle w:val="Normal"/>
        <w:widowControl/>
        <w:ind w:firstLine="1440" w:end="0"/>
        <w:jc w:val="both"/>
        <w:rPr>
          <w:rFonts w:ascii="Arial" w:hAnsi="Arial" w:cs="Arial"/>
        </w:rPr>
      </w:pPr>
      <w:r>
        <w:rPr>
          <w:rFonts w:cs="Arial" w:ascii="Arial" w:hAnsi="Arial"/>
          <w:i/>
          <w:u w:val="single"/>
        </w:rPr>
        <w:t>Chinese Wall Procedures</w:t>
      </w:r>
      <w:r>
        <w:rPr>
          <w:rFonts w:cs="Arial" w:ascii="Arial" w:hAnsi="Arial"/>
          <w:i/>
        </w:rPr>
        <w:t>.</w:t>
      </w:r>
    </w:p>
    <w:p>
      <w:pPr>
        <w:pStyle w:val="Normal"/>
        <w:widowControl/>
        <w:jc w:val="both"/>
        <w:rPr>
          <w:rFonts w:ascii="Arial" w:hAnsi="Arial" w:cs="Arial"/>
        </w:rPr>
      </w:pPr>
      <w:r>
        <w:rPr>
          <w:rFonts w:cs="Arial" w:ascii="Arial" w:hAnsi="Arial"/>
        </w:rPr>
      </w:r>
    </w:p>
    <w:p>
      <w:pPr>
        <w:pStyle w:val="BodyTextIndent2"/>
        <w:rPr/>
      </w:pPr>
      <w:r>
        <w:rPr/>
        <w:t>The basic principle underlying the Chinese Wall is that information regarding Reference Entities should not be communicated by Other Trading Personnel to any Credit Derivatives Personnel, and vice</w:t>
        <w:noBreakHyphen/>
        <w:t>versa, except in strict compliance with the procedures set forth herein, which generally require the prior approval of the Review Team.  The Review Team is a group of Enron employees, initially consisting of Michael Brown, Paul Simons and Mark Elliott of Enron Europe’s Legal Department and Mark Haedicke and Mark Taylor of Enron North America’s Legal Department.  Pursuant to this restriction, Credit Derivatives Personnel should not seek, and Other Trading Personnel should not provide to Credit Derivatives Personnel, any information regarding a Reference Entity.  In addition, in order to protect against the inadvertent transmission of confidential information, Other Trading Personnel and Credit Derivatives Personnel should limit their contacts on business</w:t>
        <w:noBreakHyphen/>
        <w:t xml:space="preserve">related matters to the maximum extent possible, consistent with their duties to Enron.  In any non-business related contacts.   In any non-business related context, Enron personnel should avoid discussing confidential information.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Furthermore, Credit Derivatives Personnel and Other Trading Personnel  should generally maintain the maximum possible degree of physical separation.  To this end, Other Trading Personnel and Credit Derivatives Personnel should be placed on different floors, where feasible.  In those instances where separation by floors is not feasible, Credit Derivatives Personnel and Other Trading Personnel should be separated by walls, dividers or other partitions or similar physical structures adequately designed to reduce the possibility of unauthorized communication between the two groups.</w:t>
      </w:r>
      <w:r>
        <w:rPr>
          <w:rFonts w:cs="Arial" w:ascii="Arial" w:hAnsi="Arial"/>
          <w:b/>
          <w:u w:val="double"/>
        </w:rPr>
        <w:t xml:space="preserve">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Credit Derivatives Personnel also should not have access to files, databases or other materials or information regarding Reference Entities or counterparties that are prepared or maintained by Other Trading Personnel.  Such materials and information should be kept in secure locations and should not be provided to Credit Derivatives Personnel upon request or otherwise, without the express prior approval of the Review Team.</w:t>
      </w:r>
    </w:p>
    <w:p>
      <w:pPr>
        <w:pStyle w:val="Normal"/>
        <w:widowControl/>
        <w:ind w:firstLine="1440" w:end="0"/>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All Credit Derivatives Personnel and Other Trading Personnel will be required to participate in periodic training programs so as to ensure that all such Personnel fully understand the procedures and their obligations with respect to the Chinese Wall.</w:t>
      </w:r>
    </w:p>
    <w:p>
      <w:pPr>
        <w:pStyle w:val="Normal"/>
        <w:widowControl/>
        <w:jc w:val="both"/>
        <w:rPr>
          <w:rFonts w:ascii="Arial" w:hAnsi="Arial" w:cs="Arial"/>
        </w:rPr>
      </w:pPr>
      <w:r>
        <w:rPr>
          <w:rFonts w:cs="Arial" w:ascii="Arial" w:hAnsi="Arial"/>
        </w:rPr>
      </w:r>
    </w:p>
    <w:p>
      <w:pPr>
        <w:pStyle w:val="Normal"/>
        <w:widowControl/>
        <w:ind w:firstLine="1440" w:end="0"/>
        <w:jc w:val="both"/>
        <w:rPr/>
      </w:pPr>
      <w:r>
        <w:rPr>
          <w:rFonts w:cs="Arial" w:ascii="Arial" w:hAnsi="Arial"/>
          <w:u w:val="single"/>
        </w:rPr>
        <w:t>Limited Exception for Publicly</w:t>
        <w:noBreakHyphen/>
        <w:t>Available Information</w:t>
      </w:r>
      <w:r>
        <w:rPr>
          <w:rFonts w:cs="Arial" w:ascii="Arial" w:hAnsi="Arial"/>
        </w:rPr>
        <w:t>.  Notwithstanding the foregoing, direct discussions are permitted between Credit Derivatives Personnel and Other Trading Personnel, where such communications are necessary to the performance of such Personnel’s duties, with respect to information that is not specific to a Reference Entity or group of Reference Entities in respect of which Enron possesses confidential information or that relates to general economic conditions, industry trends, commodity prices, weather conditions and pipeline constraints.  Personnel may also communicate publicly</w:t>
        <w:noBreakHyphen/>
        <w:t>available regulatory information, even if that information is company</w:t>
        <w:noBreakHyphen/>
        <w:t>specific.  Employees should seek the counsel of the Review Team, if necessary to determine whether particular information is public or otherwise not subject to these procedures or any other confidentiality restrictions.</w:t>
      </w:r>
    </w:p>
    <w:p>
      <w:pPr>
        <w:pStyle w:val="Normal"/>
        <w:widowControl/>
        <w:jc w:val="both"/>
        <w:rPr>
          <w:rFonts w:ascii="Arial" w:hAnsi="Arial" w:cs="Arial"/>
        </w:rPr>
      </w:pPr>
      <w:r>
        <w:rPr>
          <w:rFonts w:cs="Arial" w:ascii="Arial" w:hAnsi="Arial"/>
        </w:rPr>
      </w:r>
    </w:p>
    <w:p>
      <w:pPr>
        <w:pStyle w:val="Normal"/>
        <w:widowControl/>
        <w:ind w:firstLine="1440" w:end="0"/>
        <w:jc w:val="both"/>
        <w:rPr/>
      </w:pPr>
      <w:r>
        <w:rPr>
          <w:rFonts w:cs="Arial" w:ascii="Arial" w:hAnsi="Arial"/>
          <w:u w:val="single"/>
        </w:rPr>
        <w:t>Passing of Confidential Information “Over the Wall”</w:t>
      </w:r>
      <w:r>
        <w:rPr>
          <w:rFonts w:cs="Arial" w:ascii="Arial" w:hAnsi="Arial"/>
        </w:rPr>
        <w:t xml:space="preserve">.  If it becomes necessary to pass information “over the Wall" to Credit Derivatives Personnel, the facts and circumstances involved must be reviewed by the Review Team and such information may be so passed, if at all, only with the express prior approval of the Review Team.  The determination by the Review Team as to whether the information may be passed “over the Wall” will be based primarily on the question of whether the information is confidential information (as defined above) and will take into account such factors, among others, as the nature of the information, how it was obtained, the significance of the information, the possible effect such information might have on the Reference Entity or its securities  and the availability of information generally about the Reference Entity.  If the Review Team decides to approve the passing of such information, then (i) only the specifically approved information may be passed, with the passing of such information to be monitored by the Review Team, and (ii) the Credit Derivatives Personnel and Other Trading Personnel involved may, if so directed by the Review Team, be required to provide additional information or execute certain acknowledgements, regarding the transmission of such information.  Where information is passed over the wall, a written record will be prepared and maintained describing the information, the reason for its being passed over the wall and the person authorizing such action.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i/>
          <w:u w:val="single"/>
        </w:rPr>
        <w:t>Above the Wall</w:t>
      </w:r>
      <w:r>
        <w:rPr>
          <w:rFonts w:cs="Arial" w:ascii="Arial" w:hAnsi="Arial"/>
          <w:i/>
        </w:rPr>
        <w: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Enron's Board of Directors, the Office of the Chairman, the Compliance Department, the Review Team and the Legal Department will be "above the Wall" and may have access to information on both sides of the Chinese Wall.  These persons must avoid any improper use or dissemination of such information.</w:t>
      </w:r>
    </w:p>
    <w:p>
      <w:pPr>
        <w:pStyle w:val="Normal"/>
        <w:widowControl/>
        <w:jc w:val="both"/>
        <w:rPr>
          <w:rFonts w:ascii="Arial" w:hAnsi="Arial" w:cs="Arial"/>
          <w:b/>
          <w:u w:val="single"/>
        </w:rPr>
      </w:pPr>
      <w:r>
        <w:rPr>
          <w:rFonts w:cs="Arial" w:ascii="Arial" w:hAnsi="Arial"/>
          <w:b/>
          <w:u w:val="single"/>
        </w:rPr>
      </w:r>
    </w:p>
    <w:p>
      <w:pPr>
        <w:pStyle w:val="Normal"/>
        <w:widowControl/>
        <w:jc w:val="both"/>
        <w:rPr>
          <w:rFonts w:ascii="Arial" w:hAnsi="Arial" w:cs="Arial"/>
          <w:b/>
          <w:u w:val="single"/>
        </w:rPr>
      </w:pPr>
      <w:r>
        <w:rPr>
          <w:rFonts w:cs="Arial" w:ascii="Arial" w:hAnsi="Arial"/>
          <w:b/>
          <w:u w:val="single"/>
        </w:rPr>
      </w:r>
    </w:p>
    <w:p>
      <w:pPr>
        <w:pStyle w:val="Normal"/>
        <w:widowControl/>
        <w:jc w:val="both"/>
        <w:rPr>
          <w:rFonts w:ascii="Arial" w:hAnsi="Arial" w:cs="Arial"/>
        </w:rPr>
      </w:pPr>
      <w:r>
        <w:rPr>
          <w:rFonts w:cs="Arial" w:ascii="Arial" w:hAnsi="Arial"/>
          <w:b/>
          <w:u w:val="single"/>
        </w:rPr>
        <w:t>CREDIT DERIVATIVES RESTRICTED LIST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i/>
          <w:u w:val="single"/>
        </w:rPr>
        <w:t>General</w:t>
      </w:r>
      <w:r>
        <w:rPr>
          <w:rFonts w:cs="Arial" w:ascii="Arial" w:hAnsi="Arial"/>
          <w:i/>
        </w:rPr>
        <w: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 xml:space="preserve">For a number of reasons, including those identified below, Enron maintains a “Restricted List” in connection with its Credit Derivatives business, which will list those entities that may not be included in the list of Reference Entities or that have been deleted from the list of Reference Entities.  This list is designed  to comply with legal requirements, to deal with potential conflicts of interest that might result because of our diverse activities, and to buttress the Chinese Wall by preventing the appearance of impropriety in connection with Enron’s Credit Derivatives trading activities. </w:t>
      </w:r>
    </w:p>
    <w:p>
      <w:pPr>
        <w:pStyle w:val="Normal"/>
        <w:widowControl/>
        <w:jc w:val="both"/>
        <w:rPr>
          <w:rFonts w:ascii="Arial" w:hAnsi="Arial" w:cs="Arial"/>
        </w:rPr>
      </w:pPr>
      <w:r>
        <w:rPr>
          <w:rFonts w:cs="Arial" w:ascii="Arial" w:hAnsi="Arial"/>
        </w:rPr>
      </w:r>
    </w:p>
    <w:p>
      <w:pPr>
        <w:pStyle w:val="Normal"/>
        <w:widowControl/>
        <w:ind w:firstLine="1440" w:end="0"/>
        <w:jc w:val="both"/>
        <w:rPr/>
      </w:pPr>
      <w:r>
        <w:rPr>
          <w:rFonts w:cs="Arial" w:ascii="Arial" w:hAnsi="Arial"/>
        </w:rPr>
        <w:t xml:space="preserve">The Credit Derivatives Restricted List, however, is designed for other purposes as well.  For example, a company may be placed on the Restricted List if Enron is not able to assume any further credit exposure to that company or believes that market conditions do not warrant the trading of Credit Derivatives on such Reference Entity.    </w:t>
      </w:r>
      <w:r>
        <w:rPr>
          <w:rFonts w:cs="Arial" w:ascii="Arial" w:hAnsi="Arial"/>
          <w:b/>
          <w:i/>
        </w:rPr>
        <w:t>Accordingly, when a company is placed on the Credit Derivatives Restricted List, it should not be assumed that Enron is in possession of material, non</w:t>
        <w:noBreakHyphen/>
        <w:t>public information or other confidential information about that company</w:t>
      </w:r>
      <w:r>
        <w:rPr>
          <w:rFonts w:cs="Arial" w:ascii="Arial" w:hAnsi="Arial"/>
        </w:rPr>
        <w:t xml:space="preserve">.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It should also be noted that Enron maintains other restricted lists for other purposes.  For example, the securities trading operations of Enron are subject to restricted list procedures designed to ensure compliance with the federal securities laws and to achieve other objectives.  Entities included on the restricted list with respect to securities trading activities might be included on the Credit Derivatives Restricted List and vice</w:t>
        <w:noBreakHyphen/>
        <w:t>versa.  However, the inclusion of a company on one restricted list does not necessarily mean that it will be included on another restricted list, due to the differing purposes of such lists.  Accordingly, the Credit Derivatives Restricted List will be the operative list with respect to the inclusion of particular companies as Reference Entities and no other restricted list should be relied upon for this purpose.  Moreover, because a company included on the Credit Derivatives Restricted List might also be included on other restricted lists, the prohibitions and procedures set forth below might not be the only ones applicable to a particular company or its securities.  As a result, the Credit Derivatives Restricted list should not be relied upon as the source of all restrictions that might be applicable to dealings with, or trading in the securities of, a particular company.</w:t>
      </w:r>
    </w:p>
    <w:p>
      <w:pPr>
        <w:pStyle w:val="Normal"/>
        <w:widowControl/>
        <w:jc w:val="both"/>
        <w:rPr>
          <w:rFonts w:ascii="Arial" w:hAnsi="Arial" w:cs="Arial"/>
        </w:rPr>
      </w:pPr>
      <w:r>
        <w:rPr>
          <w:rFonts w:cs="Arial" w:ascii="Arial" w:hAnsi="Arial"/>
        </w:rPr>
      </w:r>
    </w:p>
    <w:p>
      <w:pPr>
        <w:pStyle w:val="Normal"/>
        <w:widowControl/>
        <w:ind w:firstLine="1440" w:end="0"/>
        <w:jc w:val="both"/>
        <w:rPr/>
      </w:pPr>
      <w:r>
        <w:rPr>
          <w:rFonts w:cs="Arial" w:ascii="Arial" w:hAnsi="Arial"/>
          <w:i/>
          <w:u w:val="single"/>
        </w:rPr>
        <w:t>Placement on the Credit Derivatives Restricted List</w:t>
      </w:r>
      <w:r>
        <w:rPr>
          <w:rFonts w:cs="Arial" w:ascii="Arial" w:hAnsi="Arial"/>
        </w:rPr>
        <w:t>.</w:t>
      </w:r>
    </w:p>
    <w:p>
      <w:pPr>
        <w:pStyle w:val="Normal"/>
        <w:widowControl/>
        <w:jc w:val="both"/>
        <w:rPr>
          <w:rFonts w:ascii="Arial" w:hAnsi="Arial" w:cs="Arial"/>
        </w:rPr>
      </w:pPr>
      <w:r>
        <w:rPr>
          <w:rFonts w:cs="Arial" w:ascii="Arial" w:hAnsi="Arial"/>
        </w:rPr>
      </w:r>
    </w:p>
    <w:p>
      <w:pPr>
        <w:sectPr>
          <w:headerReference w:type="default" r:id="rId4"/>
          <w:footerReference w:type="default" r:id="rId5"/>
          <w:type w:val="nextPage"/>
          <w:pgSz w:w="12240" w:h="15840"/>
          <w:pgMar w:left="1440" w:right="1440" w:gutter="0" w:header="1915" w:top="1971" w:footer="964" w:bottom="1020"/>
          <w:pgNumType w:fmt="decimal"/>
          <w:formProt w:val="false"/>
          <w:textDirection w:val="lrTb"/>
          <w:docGrid w:type="default" w:linePitch="360" w:charSpace="0"/>
        </w:sectPr>
      </w:pPr>
    </w:p>
    <w:p>
      <w:pPr>
        <w:pStyle w:val="Normal"/>
        <w:widowControl/>
        <w:ind w:firstLine="1440" w:end="0"/>
        <w:jc w:val="both"/>
        <w:rPr>
          <w:rFonts w:ascii="Arial" w:hAnsi="Arial" w:cs="Arial"/>
        </w:rPr>
      </w:pPr>
      <w:r>
        <w:rPr>
          <w:rFonts w:eastAsia="Arial" w:cs="Arial" w:ascii="Arial" w:hAnsi="Arial"/>
        </w:rPr>
        <w:t xml:space="preserve"> </w:t>
      </w:r>
      <w:r>
        <w:rPr>
          <w:rFonts w:cs="Arial" w:ascii="Arial" w:hAnsi="Arial"/>
        </w:rPr>
        <w:t>A company ordinarily will be placed on the Credit Derivatives Restricted List, either before or after it has become a Reference Entity on which Credit Derivatives are traded, in the following circumstances:</w:t>
      </w:r>
    </w:p>
    <w:p>
      <w:pPr>
        <w:pStyle w:val="Normal"/>
        <w:widowControl/>
        <w:jc w:val="both"/>
        <w:rPr>
          <w:rFonts w:ascii="Arial" w:hAnsi="Arial" w:cs="Arial"/>
        </w:rPr>
      </w:pPr>
      <w:r>
        <w:rPr>
          <w:rFonts w:cs="Arial" w:ascii="Arial" w:hAnsi="Arial"/>
        </w:rPr>
      </w:r>
    </w:p>
    <w:p>
      <w:pPr>
        <w:pStyle w:val="Normal"/>
        <w:widowControl/>
        <w:tabs>
          <w:tab w:val="clear" w:pos="720"/>
          <w:tab w:val="left" w:pos="-1440" w:leader="none"/>
        </w:tabs>
        <w:ind w:hanging="720" w:start="2160" w:end="0"/>
        <w:jc w:val="both"/>
        <w:rPr>
          <w:rFonts w:ascii="Arial" w:hAnsi="Arial" w:cs="Arial"/>
        </w:rPr>
      </w:pPr>
      <w:r>
        <w:rPr>
          <w:rFonts w:cs="Arial" w:ascii="Arial" w:hAnsi="Arial"/>
        </w:rPr>
        <w:t>·</w:t>
        <w:tab/>
        <w:t>when Enron is actively engaged in effecting a transaction with respect to such company that has not been publicly announced;</w:t>
      </w:r>
    </w:p>
    <w:p>
      <w:pPr>
        <w:pStyle w:val="Normal"/>
        <w:widowControl/>
        <w:jc w:val="both"/>
        <w:rPr>
          <w:rFonts w:ascii="Arial" w:hAnsi="Arial" w:cs="Arial"/>
        </w:rPr>
      </w:pPr>
      <w:r>
        <w:rPr>
          <w:rFonts w:cs="Arial" w:ascii="Arial" w:hAnsi="Arial"/>
        </w:rPr>
      </w:r>
    </w:p>
    <w:p>
      <w:pPr>
        <w:pStyle w:val="Normal"/>
        <w:widowControl/>
        <w:tabs>
          <w:tab w:val="clear" w:pos="720"/>
          <w:tab w:val="left" w:pos="-1440" w:leader="none"/>
        </w:tabs>
        <w:ind w:hanging="720" w:start="2160" w:end="0"/>
        <w:jc w:val="both"/>
        <w:rPr>
          <w:rFonts w:ascii="Arial" w:hAnsi="Arial" w:cs="Arial"/>
        </w:rPr>
      </w:pPr>
      <w:r>
        <w:rPr>
          <w:rFonts w:cs="Arial" w:ascii="Arial" w:hAnsi="Arial"/>
        </w:rPr>
        <w:t>·</w:t>
        <w:tab/>
        <w:t>when Enron has an applicable standstill agreement or other confidentiality agreement in place with such company;</w:t>
      </w:r>
    </w:p>
    <w:p>
      <w:pPr>
        <w:pStyle w:val="Normal"/>
        <w:widowControl/>
        <w:jc w:val="both"/>
        <w:rPr>
          <w:rFonts w:ascii="Arial" w:hAnsi="Arial" w:cs="Arial"/>
        </w:rPr>
      </w:pPr>
      <w:r>
        <w:rPr>
          <w:rFonts w:cs="Arial" w:ascii="Arial" w:hAnsi="Arial"/>
        </w:rPr>
      </w:r>
    </w:p>
    <w:p>
      <w:pPr>
        <w:pStyle w:val="Normal"/>
        <w:widowControl/>
        <w:tabs>
          <w:tab w:val="clear" w:pos="720"/>
          <w:tab w:val="left" w:pos="-1440" w:leader="none"/>
        </w:tabs>
        <w:ind w:hanging="720" w:start="2160" w:end="0"/>
        <w:jc w:val="both"/>
        <w:rPr>
          <w:rFonts w:ascii="Arial" w:hAnsi="Arial" w:cs="Arial"/>
        </w:rPr>
      </w:pPr>
      <w:r>
        <w:rPr>
          <w:rFonts w:cs="Arial" w:ascii="Arial" w:hAnsi="Arial"/>
        </w:rPr>
        <w:t>·</w:t>
        <w:tab/>
        <w:t>when Enron has a fiduciary or other legal duty to keep such company's information confidential and such company has not expressly consented to being a Reference Entity for purposes of the Trading of Credit Derivatives;</w:t>
      </w:r>
    </w:p>
    <w:p>
      <w:pPr>
        <w:pStyle w:val="Normal"/>
        <w:widowControl/>
        <w:jc w:val="both"/>
        <w:rPr>
          <w:rFonts w:ascii="Arial" w:hAnsi="Arial" w:cs="Arial"/>
        </w:rPr>
      </w:pPr>
      <w:r>
        <w:rPr>
          <w:rFonts w:cs="Arial" w:ascii="Arial" w:hAnsi="Arial"/>
        </w:rPr>
      </w:r>
    </w:p>
    <w:p>
      <w:pPr>
        <w:pStyle w:val="Normal"/>
        <w:widowControl/>
        <w:tabs>
          <w:tab w:val="clear" w:pos="720"/>
          <w:tab w:val="left" w:pos="-1440" w:leader="none"/>
        </w:tabs>
        <w:ind w:hanging="2160" w:start="2160" w:end="0"/>
        <w:jc w:val="both"/>
        <w:rPr>
          <w:rFonts w:ascii="Arial" w:hAnsi="Arial" w:cs="Arial"/>
        </w:rPr>
      </w:pPr>
      <w:r>
        <w:rPr>
          <w:rFonts w:eastAsia="Arial" w:cs="Arial" w:ascii="Arial" w:hAnsi="Arial"/>
        </w:rPr>
        <w:t xml:space="preserve"> </w:t>
      </w:r>
      <w:r>
        <w:rPr>
          <w:rFonts w:cs="Arial" w:ascii="Arial" w:hAnsi="Arial"/>
        </w:rPr>
        <w:tab/>
        <w:tab/>
        <w:t>·</w:t>
        <w:tab/>
        <w:t>when some part of Enron acquires material, nonpublic information about a company or its securities in the course of its business activities (if no Chinese Wall is in place).</w:t>
      </w:r>
    </w:p>
    <w:p>
      <w:pPr>
        <w:pStyle w:val="Normal"/>
        <w:widowControl/>
        <w:jc w:val="both"/>
        <w:rPr>
          <w:rFonts w:ascii="Arial" w:hAnsi="Arial" w:cs="Arial"/>
        </w:rPr>
      </w:pPr>
      <w:r>
        <w:rPr>
          <w:rFonts w:cs="Arial" w:ascii="Arial" w:hAnsi="Arial"/>
        </w:rPr>
      </w:r>
    </w:p>
    <w:p>
      <w:pPr>
        <w:pStyle w:val="Normal"/>
        <w:widowControl/>
        <w:tabs>
          <w:tab w:val="clear" w:pos="720"/>
          <w:tab w:val="left" w:pos="-1440" w:leader="none"/>
        </w:tabs>
        <w:ind w:hanging="720" w:start="2160" w:end="0"/>
        <w:jc w:val="both"/>
        <w:rPr>
          <w:rFonts w:ascii="Arial" w:hAnsi="Arial" w:cs="Arial"/>
        </w:rPr>
      </w:pPr>
      <w:r>
        <w:rPr>
          <w:rFonts w:cs="Arial" w:ascii="Arial" w:hAnsi="Arial"/>
        </w:rPr>
        <w:t>·</w:t>
        <w:tab/>
        <w:t>when Enron has reached or exceeded its credit limits with respect to such company.</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The Credit Derivatives Restricted List is maintained by the Compliance Department and is periodically disseminated to Enron employees on hard copy or electronically.  The contents of the Restricted List are confidential and may not be disclosed to any third parties for any reason.  In addition, as noted, no inferences should be drawn concerning a company or its securities due to its inclusion on the Credit Derivatives Restricted List.</w:t>
      </w:r>
    </w:p>
    <w:p>
      <w:pPr>
        <w:pStyle w:val="Normal"/>
        <w:widowControl/>
        <w:jc w:val="both"/>
        <w:rPr>
          <w:rFonts w:ascii="Arial" w:hAnsi="Arial" w:cs="Arial"/>
        </w:rPr>
      </w:pPr>
      <w:r>
        <w:rPr>
          <w:rFonts w:cs="Arial" w:ascii="Arial" w:hAnsi="Arial"/>
        </w:rPr>
      </w:r>
    </w:p>
    <w:p>
      <w:pPr>
        <w:pStyle w:val="Normal"/>
        <w:widowControl/>
        <w:ind w:firstLine="1440" w:end="0"/>
        <w:jc w:val="both"/>
        <w:rPr/>
      </w:pPr>
      <w:r>
        <w:rPr>
          <w:rFonts w:cs="Arial" w:ascii="Arial" w:hAnsi="Arial"/>
          <w:i/>
          <w:u w:val="single"/>
        </w:rPr>
        <w:t>Applicable Prohibitions</w:t>
      </w:r>
      <w:r>
        <w:rPr>
          <w:rFonts w:cs="Arial" w:ascii="Arial" w:hAnsi="Arial"/>
        </w:rPr>
        <w: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The following prohibitions apply to Credit Derivatives on, and to the extent noted below, securities of, companies included in the Credit Derivatives Restricted List: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1.</w:t>
        <w:tab/>
        <w:t xml:space="preserve">Enron may not list or trade Credit Derivatives on companies that are included on the Credit Derivatives Restricted List.  When a company is placed on the Credit Derivatives Restricted List, prices for Credit Derivatives on that company may not be listed or quoted and no new Credit Derivatives transactions may be entered into with respect to such company for so long as it remains on the Credit Derivatives Restricted List. </w:t>
      </w:r>
    </w:p>
    <w:p>
      <w:pPr>
        <w:pStyle w:val="Normal"/>
        <w:widowControl/>
        <w:jc w:val="both"/>
        <w:rPr>
          <w:rFonts w:ascii="Arial" w:hAnsi="Arial" w:cs="Arial"/>
        </w:rPr>
      </w:pPr>
      <w:r>
        <w:rPr>
          <w:rFonts w:cs="Arial" w:ascii="Arial" w:hAnsi="Arial"/>
        </w:rPr>
      </w:r>
    </w:p>
    <w:p>
      <w:pPr>
        <w:sectPr>
          <w:type w:val="continuous"/>
          <w:pgSz w:w="12240" w:h="15840"/>
          <w:pgMar w:left="1440" w:right="1440" w:gutter="0" w:header="1915" w:top="1971" w:footer="964" w:bottom="1020"/>
          <w:formProt w:val="false"/>
          <w:textDirection w:val="lrTb"/>
          <w:docGrid w:type="default" w:linePitch="360" w:charSpace="0"/>
        </w:sectPr>
      </w:pPr>
    </w:p>
    <w:p>
      <w:pPr>
        <w:pStyle w:val="Normal"/>
        <w:widowControl/>
        <w:ind w:firstLine="1440" w:end="0"/>
        <w:jc w:val="both"/>
        <w:rPr>
          <w:rFonts w:ascii="Arial" w:hAnsi="Arial" w:cs="Arial"/>
        </w:rPr>
      </w:pPr>
      <w:r>
        <w:rPr>
          <w:rFonts w:cs="Arial" w:ascii="Arial" w:hAnsi="Arial"/>
        </w:rPr>
        <w:t>2.</w:t>
        <w:tab/>
        <w:t xml:space="preserve">Credit Derivatives Personnel must not notify Credit Derivative counterparties that Credit Derivatives on a particular Reference Entity are no longer available or that the Reference Entity has been placed on the Credit Derivatives Restricted List.  In addition, Credit Derivatives Personnel must not provide any explanation to counterparties as to why Credit Derivatives on such Reference Entity are no longer available.  </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3.</w:t>
        <w:tab/>
        <w:t>Credit Derivatives Personnel may not purchase or sell securities of, or enter into credit derivatives transactions based on, a company that appears on the Credit Derivatives Restricted List, either for the accounts of Enron or its affiliates, or for their personal or related accounts, nor may Credit Derivatives Personnel recommend the purchase or sale of such company's securities, or credit derivatives on such company, to any person.</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4.</w:t>
        <w:tab/>
        <w:t>The Credit Derivatives Restricted List is solely for the internal use of Enron.  No one may engage in discussions regarding whether a company is or is not on the Credit Derivatives Restricted List with persons outside Enron (unless clearance has been obtained from the Compliance Department, in consultation with the Enron Legal Department).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The restrictions outlined above apply to all companies on the Credit Derivatives Restricted List.  Personnel should consult the Compliance Department, the Review Team and Enron Legal Department when questions arise or when exceptions to the above rules appear warranted.</w:t>
      </w:r>
    </w:p>
    <w:p>
      <w:pPr>
        <w:pStyle w:val="Normal"/>
        <w:widowControl/>
        <w:jc w:val="both"/>
        <w:rPr>
          <w:rFonts w:ascii="Arial" w:hAnsi="Arial" w:cs="Arial"/>
        </w:rPr>
      </w:pPr>
      <w:r>
        <w:rPr>
          <w:rFonts w:cs="Arial" w:ascii="Arial" w:hAnsi="Arial"/>
        </w:rPr>
      </w:r>
    </w:p>
    <w:p>
      <w:pPr>
        <w:pStyle w:val="Normal"/>
        <w:widowControl/>
        <w:ind w:firstLine="1440" w:end="0"/>
        <w:jc w:val="both"/>
        <w:rPr/>
      </w:pPr>
      <w:r>
        <w:rPr>
          <w:rFonts w:cs="Arial" w:ascii="Arial" w:hAnsi="Arial"/>
          <w:i/>
          <w:u w:val="single"/>
        </w:rPr>
        <w:t>Removal from Credit Derivatives Restricted List</w:t>
      </w:r>
      <w:r>
        <w:rPr>
          <w:rFonts w:cs="Arial" w:ascii="Arial" w:hAnsi="Arial"/>
        </w:rPr>
        <w: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A company may be removed from the Credit Derivatives Restricted List in the following circumstances:</w:t>
      </w:r>
    </w:p>
    <w:p>
      <w:pPr>
        <w:pStyle w:val="Normal"/>
        <w:widowControl/>
        <w:jc w:val="both"/>
        <w:rPr>
          <w:rFonts w:ascii="Arial" w:hAnsi="Arial" w:cs="Arial"/>
        </w:rPr>
      </w:pPr>
      <w:r>
        <w:rPr>
          <w:rFonts w:cs="Arial" w:ascii="Arial" w:hAnsi="Arial"/>
        </w:rPr>
      </w:r>
    </w:p>
    <w:p>
      <w:pPr>
        <w:pStyle w:val="Normal"/>
        <w:widowControl/>
        <w:tabs>
          <w:tab w:val="clear" w:pos="720"/>
          <w:tab w:val="left" w:pos="-1440" w:leader="none"/>
        </w:tabs>
        <w:ind w:hanging="720" w:start="2160" w:end="0"/>
        <w:jc w:val="both"/>
        <w:rPr>
          <w:rFonts w:ascii="Arial" w:hAnsi="Arial" w:cs="Arial"/>
        </w:rPr>
      </w:pPr>
      <w:r>
        <w:rPr>
          <w:rFonts w:cs="Arial" w:ascii="Arial" w:hAnsi="Arial"/>
        </w:rPr>
        <w:t>·</w:t>
        <w:tab/>
        <w:t>if any contemplated transaction between Enron and such company does not occur or has been concluded (provided that Enron does not possess other confidential information in respect of that Reference Entity);</w:t>
      </w:r>
    </w:p>
    <w:p>
      <w:pPr>
        <w:pStyle w:val="Normal"/>
        <w:widowControl/>
        <w:jc w:val="both"/>
        <w:rPr>
          <w:rFonts w:ascii="Arial" w:hAnsi="Arial" w:cs="Arial"/>
        </w:rPr>
      </w:pPr>
      <w:r>
        <w:rPr>
          <w:rFonts w:cs="Arial" w:ascii="Arial" w:hAnsi="Arial"/>
        </w:rPr>
      </w:r>
    </w:p>
    <w:p>
      <w:pPr>
        <w:pStyle w:val="Normal"/>
        <w:widowControl/>
        <w:tabs>
          <w:tab w:val="clear" w:pos="720"/>
          <w:tab w:val="left" w:pos="-1440" w:leader="none"/>
        </w:tabs>
        <w:ind w:hanging="720" w:start="2160" w:end="0"/>
        <w:jc w:val="both"/>
        <w:rPr>
          <w:rFonts w:ascii="Arial" w:hAnsi="Arial" w:cs="Arial"/>
        </w:rPr>
      </w:pPr>
      <w:r>
        <w:rPr>
          <w:rFonts w:cs="Arial" w:ascii="Arial" w:hAnsi="Arial"/>
        </w:rPr>
        <w:t>·</w:t>
        <w:tab/>
        <w:t>if Enron has no confidential information regarding the company and no applicable standstill provisions or other confidentiality agreements are in place;</w:t>
      </w:r>
    </w:p>
    <w:p>
      <w:pPr>
        <w:pStyle w:val="Normal"/>
        <w:widowControl/>
        <w:jc w:val="both"/>
        <w:rPr>
          <w:rFonts w:ascii="Arial" w:hAnsi="Arial" w:cs="Arial"/>
        </w:rPr>
      </w:pPr>
      <w:r>
        <w:rPr>
          <w:rFonts w:cs="Arial" w:ascii="Arial" w:hAnsi="Arial"/>
        </w:rPr>
      </w:r>
    </w:p>
    <w:p>
      <w:pPr>
        <w:pStyle w:val="Normal"/>
        <w:widowControl/>
        <w:tabs>
          <w:tab w:val="clear" w:pos="720"/>
          <w:tab w:val="left" w:pos="-1440" w:leader="none"/>
        </w:tabs>
        <w:ind w:hanging="720" w:start="2160" w:end="0"/>
        <w:jc w:val="both"/>
        <w:rPr>
          <w:rFonts w:ascii="Arial" w:hAnsi="Arial" w:cs="Arial"/>
        </w:rPr>
      </w:pPr>
      <w:r>
        <w:rPr>
          <w:rFonts w:cs="Arial" w:ascii="Arial" w:hAnsi="Arial"/>
        </w:rPr>
        <w:t>·</w:t>
        <w:tab/>
        <w:t>when Enron's involvement in a transaction is publicly announced or has ended (provided that Enron does not possess other confidential information in respect of that Reference Entity);</w:t>
      </w:r>
    </w:p>
    <w:p>
      <w:pPr>
        <w:pStyle w:val="Normal"/>
        <w:widowControl/>
        <w:jc w:val="both"/>
        <w:rPr>
          <w:rFonts w:ascii="Arial" w:hAnsi="Arial" w:cs="Arial"/>
        </w:rPr>
      </w:pPr>
      <w:r>
        <w:rPr>
          <w:rFonts w:cs="Arial" w:ascii="Arial" w:hAnsi="Arial"/>
        </w:rPr>
      </w:r>
    </w:p>
    <w:p>
      <w:pPr>
        <w:sectPr>
          <w:type w:val="continuous"/>
          <w:pgSz w:w="12240" w:h="15840"/>
          <w:pgMar w:left="1440" w:right="1440" w:gutter="0" w:header="1915" w:top="1971" w:footer="964" w:bottom="1020"/>
          <w:formProt w:val="false"/>
          <w:textDirection w:val="lrTb"/>
          <w:docGrid w:type="default" w:linePitch="360" w:charSpace="0"/>
        </w:sectPr>
      </w:pPr>
    </w:p>
    <w:p>
      <w:pPr>
        <w:pStyle w:val="Normal"/>
        <w:widowControl/>
        <w:tabs>
          <w:tab w:val="clear" w:pos="720"/>
          <w:tab w:val="left" w:pos="-1440" w:leader="none"/>
        </w:tabs>
        <w:ind w:hanging="720" w:start="2160" w:end="0"/>
        <w:jc w:val="both"/>
        <w:rPr>
          <w:rFonts w:ascii="Arial" w:hAnsi="Arial" w:cs="Arial"/>
        </w:rPr>
      </w:pPr>
      <w:r>
        <w:rPr>
          <w:rFonts w:cs="Arial" w:ascii="Arial" w:hAnsi="Arial"/>
        </w:rPr>
        <w:t>·</w:t>
        <w:tab/>
        <w:t>when the Compliance Department, the Review Team and the Enron Legal Department otherwise determine that it is no longer necessary  for the Reference Entity to remain on the Credit Derivatives Restricted List.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b/>
        </w:rPr>
        <w:t>All determinations regarding the inclusion of a company on, or the deletion of a company from, the Restricted List, will be made by the Compliance Department, in consultation with the Legal Department.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i/>
          <w:u w:val="single"/>
        </w:rPr>
        <w:t>Closing Out Open Credit Derivatives Positions</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Notwithstanding the prohibitions set forth above, Credit Derivatives Personnel may close out an open Credit Derivatives transaction based on a Reference Entity on the  Credit Derivatives Restricted List under the following circumstances and subject to the conditions noted:</w:t>
      </w:r>
    </w:p>
    <w:p>
      <w:pPr>
        <w:pStyle w:val="Normal"/>
        <w:widowControl/>
        <w:jc w:val="both"/>
        <w:rPr>
          <w:rFonts w:ascii="Arial" w:hAnsi="Arial" w:cs="Arial"/>
        </w:rPr>
      </w:pPr>
      <w:r>
        <w:rPr>
          <w:rFonts w:cs="Arial" w:ascii="Arial" w:hAnsi="Arial"/>
        </w:rPr>
      </w:r>
    </w:p>
    <w:p>
      <w:pPr>
        <w:pStyle w:val="Normal"/>
        <w:widowControl/>
        <w:tabs>
          <w:tab w:val="clear" w:pos="720"/>
          <w:tab w:val="left" w:pos="-1440" w:leader="none"/>
        </w:tabs>
        <w:ind w:hanging="720" w:start="2160" w:end="0"/>
        <w:jc w:val="both"/>
        <w:rPr>
          <w:rFonts w:ascii="Arial" w:hAnsi="Arial" w:cs="Arial"/>
        </w:rPr>
      </w:pPr>
      <w:r>
        <w:rPr>
          <w:rFonts w:cs="Arial" w:ascii="Arial" w:hAnsi="Arial"/>
        </w:rPr>
        <w:t>·</w:t>
        <w:tab/>
        <w:t>Such closing transactions may only be effected upon the unsolicited request of the counterparty to the transaction.  Credit Derivatives Personnel may not solicit any such transaction nor indicate in any way to the counterparty that it should request a closing transaction;</w:t>
      </w:r>
    </w:p>
    <w:p>
      <w:pPr>
        <w:pStyle w:val="Normal"/>
        <w:widowControl/>
        <w:jc w:val="both"/>
        <w:rPr>
          <w:rFonts w:ascii="Arial" w:hAnsi="Arial" w:cs="Arial"/>
        </w:rPr>
      </w:pPr>
      <w:r>
        <w:rPr>
          <w:rFonts w:cs="Arial" w:ascii="Arial" w:hAnsi="Arial"/>
        </w:rPr>
      </w:r>
    </w:p>
    <w:p>
      <w:pPr>
        <w:pStyle w:val="BodyTextIndent"/>
        <w:rPr/>
      </w:pPr>
      <w:r>
        <w:rPr/>
        <w:t>·</w:t>
        <w:tab/>
        <w:t>Any such closing transaction must be approved in writing, prior to execution, by a member of Enron’s Legal or Compliance Department; and</w:t>
      </w:r>
    </w:p>
    <w:p>
      <w:pPr>
        <w:pStyle w:val="Normal"/>
        <w:widowControl/>
        <w:jc w:val="both"/>
        <w:rPr>
          <w:rFonts w:ascii="Arial" w:hAnsi="Arial" w:cs="Arial"/>
        </w:rPr>
      </w:pPr>
      <w:r>
        <w:rPr>
          <w:rFonts w:cs="Arial" w:ascii="Arial" w:hAnsi="Arial"/>
        </w:rPr>
      </w:r>
    </w:p>
    <w:p>
      <w:pPr>
        <w:pStyle w:val="BodyTextIndent"/>
        <w:rPr/>
      </w:pPr>
      <w:r>
        <w:rPr/>
        <w:t>·</w:t>
        <w:tab/>
        <w:t xml:space="preserve">The price at which the transaction is closed should be determined by the head of the Credit Derivatives team. </w:t>
      </w:r>
    </w:p>
    <w:p>
      <w:pPr>
        <w:pStyle w:val="Normal"/>
        <w:widowControl/>
        <w:ind w:firstLine="1440" w:end="0"/>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i/>
          <w:u w:val="single"/>
        </w:rPr>
        <w:t>Maintenance of the Credit Derivatives Restricted List</w:t>
      </w:r>
      <w:r>
        <w:rPr>
          <w:rFonts w:cs="Arial" w:ascii="Arial" w:hAnsi="Arial"/>
          <w:i/>
        </w:rPr>
        <w: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Any Credit Derivatives Personnel receiving confidential information, or information believed to be confidential, should immediately contact the Compliance Department and, if necessary, the Legal Department, in order to determine whether the receipt of such information warrants placement of the subject company on the Credit Derivatives Restricted List.  Pending any decision by the Legal Department, the person should assume that the information is confidential and should not deal in Credit Derivatives or securities of the Reference Entity.  Conversely, any Credit Derivatives Personnel with information indicating that a company should be removed from the Restricted List should notify the Compliance Department.  The Compliance Department, in consultation with the Legal Department, will then determine whether to place a company on, or remove the company from, the Credit Derivatives Restricted List.</w:t>
      </w:r>
    </w:p>
    <w:p>
      <w:pPr>
        <w:pStyle w:val="Normal"/>
        <w:widowControl/>
        <w:jc w:val="both"/>
        <w:rPr>
          <w:rFonts w:ascii="Arial" w:hAnsi="Arial" w:cs="Arial"/>
        </w:rPr>
      </w:pPr>
      <w:r>
        <w:rPr>
          <w:rFonts w:cs="Arial" w:ascii="Arial" w:hAnsi="Arial"/>
        </w:rPr>
      </w:r>
    </w:p>
    <w:p>
      <w:pPr>
        <w:sectPr>
          <w:type w:val="continuous"/>
          <w:pgSz w:w="12240" w:h="15840"/>
          <w:pgMar w:left="1440" w:right="1440" w:gutter="0" w:header="1915" w:top="1971" w:footer="964" w:bottom="1020"/>
          <w:formProt w:val="false"/>
          <w:textDirection w:val="lrTb"/>
          <w:docGrid w:type="default" w:linePitch="360" w:charSpace="0"/>
        </w:sectPr>
      </w:pPr>
    </w:p>
    <w:p>
      <w:pPr>
        <w:pStyle w:val="Normal"/>
        <w:widowControl/>
        <w:ind w:firstLine="1440" w:end="0"/>
        <w:jc w:val="both"/>
        <w:rPr>
          <w:rFonts w:ascii="Arial" w:hAnsi="Arial" w:cs="Arial"/>
        </w:rPr>
      </w:pPr>
      <w:r>
        <w:rPr>
          <w:rFonts w:cs="Arial" w:ascii="Arial" w:hAnsi="Arial"/>
        </w:rPr>
        <w:t>PERSONNEL SHOULD COMMUNICATE POSSIBLE CHANGES TO THE LISTS ONLY TO THE COMPLIANCE DEPARTMENT OR THE LEGAL DEPARTMENT.  DO NOT CONTACT ANY OTHER PERSONNEL WITH POSSIBLE CHANGES TO THE LIST.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All Credit Derivatives Personnel must participate in periodic training programs regarding Restricted List procedures so as to ensure that they fully understand the procedures and their obligations with respect to the Credit Derivatives Restricted List.</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b/>
          <w:u w:val="single"/>
        </w:rPr>
        <w:t>COMPLIANCE DEPARTMENT</w:t>
      </w:r>
    </w:p>
    <w:p>
      <w:pPr>
        <w:pStyle w:val="Normal"/>
        <w:widowControl/>
        <w:jc w:val="both"/>
        <w:rPr>
          <w:rFonts w:ascii="Arial" w:hAnsi="Arial" w:cs="Arial"/>
        </w:rPr>
      </w:pPr>
      <w:r>
        <w:rPr>
          <w:rFonts w:cs="Arial" w:ascii="Arial" w:hAnsi="Arial"/>
        </w:rPr>
      </w:r>
    </w:p>
    <w:p>
      <w:pPr>
        <w:pStyle w:val="BodyTextIndent2"/>
        <w:rPr/>
      </w:pPr>
      <w:r>
        <w:rPr/>
        <w:t>All communications to the Compliance Department relating to these procedures should be forwarded to Michael Brown or Paul Simons in London or to Mark Haedicke or Mark Taylor in Houston.  Communications of this sort include, but are not limited to, the forwarding of acknowledgments and the providing of information regarding whether a company should be placed on or removed from the Credit Derivatives Restricted List.</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b/>
          <w:u w:val="single"/>
        </w:rPr>
        <w:t>CONCLUSION</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The description of Enron policies and procedures set forth in this document is necessarily a general summary.  In practice, there are likely to be particular fact situations that may warrant exceptions to some of the general policies and procedures in this document.  All requests for such exceptions should be addressed to the Compliance Department which should maintain a written record of the request and its determination. Any questions concerning the policies and procedures described in this document or their implementation should be addressed to the Compliance Department, the Review Team or the Enron Legal Department.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No compliance policies and procedures can be, and this document is not, all</w:t>
        <w:noBreakHyphen/>
        <w:t xml:space="preserve">inclusive.  </w:t>
      </w:r>
      <w:r>
        <w:rPr>
          <w:rFonts w:cs="Arial" w:ascii="Arial" w:hAnsi="Arial"/>
          <w:b/>
          <w:i/>
        </w:rPr>
        <w:t>Whenever you are in doubt about the legality of a particular course of action or transaction, you should consult the Enron Legal Department.</w:t>
      </w:r>
    </w:p>
    <w:p>
      <w:pPr>
        <w:pStyle w:val="Normal"/>
        <w:widowControl/>
        <w:jc w:val="both"/>
        <w:rPr>
          <w:rFonts w:ascii="Arial" w:hAnsi="Arial" w:cs="Arial"/>
        </w:rPr>
      </w:pPr>
      <w:r>
        <w:rPr>
          <w:rFonts w:cs="Arial" w:ascii="Arial" w:hAnsi="Arial"/>
        </w:rPr>
      </w:r>
    </w:p>
    <w:p>
      <w:pPr>
        <w:pStyle w:val="Normal"/>
        <w:widowControl/>
        <w:ind w:firstLine="1440" w:end="0"/>
        <w:jc w:val="both"/>
        <w:rPr>
          <w:rFonts w:ascii="Arial" w:hAnsi="Arial" w:cs="Arial"/>
        </w:rPr>
      </w:pPr>
      <w:r>
        <w:rPr>
          <w:rFonts w:cs="Arial" w:ascii="Arial" w:hAnsi="Arial"/>
        </w:rPr>
        <w:t>Enron has voluntarily adopted these policies for its sole and exclusive use and may amend or withdraw them at any time without prior notice.</w:t>
      </w:r>
    </w:p>
    <w:sectPr>
      <w:headerReference w:type="default" r:id="rId6"/>
      <w:footerReference w:type="default" r:id="rId7"/>
      <w:type w:val="nextPage"/>
      <w:pgSz w:w="12240" w:h="15840"/>
      <w:pgMar w:left="144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6"/>
      </w:rPr>
    </w:pPr>
    <w:r>
      <w:rPr>
        <w:sz w:val="16"/>
      </w:rPr>
      <w:t>S:\legal\psimons\documents\Credit Group Policies &amp; Procedures Draft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rFonts w:ascii="Arial" w:hAnsi="Arial" w:cs="Arial"/>
      </w:rPr>
    </w:pPr>
    <w:r>
      <w:rPr>
        <w:rFonts w:cs="Arial" w:ascii="Arial" w:hAnsi="Arial"/>
      </w:rPr>
    </w:r>
  </w:p>
  <w:p>
    <w:pPr>
      <w:pStyle w:val="Normal"/>
      <w:spacing w:lineRule="exact" w:line="241"/>
      <w:jc w:val="end"/>
      <w:rPr>
        <w:rFonts w:ascii="Arial" w:hAnsi="Arial" w:cs="Arial"/>
      </w:rPr>
    </w:pPr>
    <w:r>
      <w:rPr>
        <w:rFonts w:cs="Arial" w:ascii="Arial" w:hAnsi="Arial"/>
      </w:rPr>
    </w:r>
  </w:p>
  <w:p>
    <w:pPr>
      <w:pStyle w:val="Normal"/>
      <w:spacing w:lineRule="exact" w:line="241"/>
      <w:jc w:val="end"/>
      <w:rPr>
        <w:rFonts w:ascii="Arial" w:hAnsi="Arial" w:cs="Arial"/>
      </w:rPr>
    </w:pPr>
    <w:r>
      <w:rPr>
        <w:rFonts w:cs="Arial" w:ascii="Arial" w:hAnsi="Arial"/>
      </w:rPr>
    </w:r>
  </w:p>
  <w:p>
    <w:pPr>
      <w:pStyle w:val="Normal"/>
      <w:spacing w:lineRule="exact" w:line="240"/>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widowControl/>
      <w:tabs>
        <w:tab w:val="clear" w:pos="720"/>
        <w:tab w:val="left" w:pos="-1440" w:leader="none"/>
      </w:tabs>
      <w:ind w:hanging="720" w:start="2160" w:end="0"/>
      <w:jc w:val="both"/>
    </w:pPr>
    <w:rPr>
      <w:rFonts w:ascii="Arial" w:hAnsi="Arial" w:cs="Arial"/>
    </w:rPr>
  </w:style>
  <w:style w:type="paragraph" w:styleId="BodyTextIndent2">
    <w:name w:val="Body Text Indent 2"/>
    <w:basedOn w:val="Normal"/>
    <w:qFormat/>
    <w:pPr>
      <w:widowControl/>
      <w:ind w:firstLine="1440" w:start="0" w:end="0"/>
      <w:jc w:val="both"/>
    </w:pPr>
    <w:rPr>
      <w:rFonts w:ascii="Arial" w:hAnsi="Arial"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2000-02-21T15:12:00Z</dcterms:created>
  <dc:creator>NEdmonds</dc:creator>
  <dc:description/>
  <dc:language>en-CA</dc:language>
  <cp:lastModifiedBy>psimons</cp:lastModifiedBy>
  <cp:lastPrinted>2000-02-23T15:14:00Z</cp:lastPrinted>
  <dcterms:modified xsi:type="dcterms:W3CDTF">2000-02-24T17:46:00Z</dcterms:modified>
  <cp:revision>5</cp:revision>
  <dc:subject/>
  <dc:title>POLICIES AND PROCEDURES REGARDING</dc:title>
</cp:coreProperties>
</file>