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360" w:end="0"/>
        <w:jc w:val="center"/>
        <w:rPr/>
      </w:pPr>
      <w:r>
        <w:rPr/>
        <w:t>Credit Group Lead Lawyer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Generally be or become an expert in credit related legal issues:</w:t>
      </w:r>
    </w:p>
    <w:p>
      <w:pPr>
        <w:pStyle w:val="Normal"/>
        <w:numPr>
          <w:ilvl w:val="1"/>
          <w:numId w:val="1"/>
        </w:numPr>
        <w:rPr/>
      </w:pPr>
      <w:r>
        <w:rPr/>
        <w:t>Security interests and the UCC</w:t>
      </w:r>
    </w:p>
    <w:p>
      <w:pPr>
        <w:pStyle w:val="Normal"/>
        <w:numPr>
          <w:ilvl w:val="1"/>
          <w:numId w:val="1"/>
        </w:numPr>
        <w:rPr/>
      </w:pPr>
      <w:r>
        <w:rPr/>
        <w:t>Letters of credit</w:t>
      </w:r>
    </w:p>
    <w:p>
      <w:pPr>
        <w:pStyle w:val="Normal"/>
        <w:numPr>
          <w:ilvl w:val="1"/>
          <w:numId w:val="1"/>
        </w:numPr>
        <w:rPr/>
      </w:pPr>
      <w:r>
        <w:rPr/>
        <w:t>Guarantees</w:t>
      </w:r>
    </w:p>
    <w:p>
      <w:pPr>
        <w:pStyle w:val="Normal"/>
        <w:numPr>
          <w:ilvl w:val="1"/>
          <w:numId w:val="1"/>
        </w:numPr>
        <w:rPr/>
      </w:pPr>
      <w:r>
        <w:rPr/>
        <w:t>Bankruptcy and its affects on documentation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Be available to EWS lawyers and Credit Group members to answer credit related legal questions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Coordinate EWS Legal Department policies/forms regarding documentation and credit issues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Assist in credit crises – e.g. termination decisions and implementation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2001-04-13T13:20:00Z</dcterms:created>
  <dc:creator>mtaylo1</dc:creator>
  <dc:description/>
  <dc:language>en-CA</dc:language>
  <cp:lastModifiedBy>mtaylo1</cp:lastModifiedBy>
  <dcterms:modified xsi:type="dcterms:W3CDTF">2001-04-13T16:57:00Z</dcterms:modified>
  <cp:revision>1</cp:revision>
  <dc:subject/>
  <dc:title>Credit Group Lead Lawyer</dc:title>
</cp:coreProperties>
</file>