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Credit Exposures:  Risk Metrics for Implementation</w:t>
      </w:r>
    </w:p>
    <w:p>
      <w:pPr>
        <w:pStyle w:val="Heading2"/>
        <w:ind w:hanging="0" w:start="0"/>
        <w:rPr/>
      </w:pPr>
      <w:r>
        <w:rPr/>
        <w:t>Naveen C. Andrews</w:t>
      </w:r>
    </w:p>
    <w:p>
      <w:pPr>
        <w:pStyle w:val="Normal"/>
        <w:rPr>
          <w:b/>
          <w:sz w:val="24"/>
          <w:u w:val="single"/>
        </w:rPr>
      </w:pPr>
      <w:r>
        <w:rPr>
          <w:b/>
          <w:sz w:val="24"/>
          <w:u w:val="single"/>
        </w:rPr>
      </w:r>
    </w:p>
    <w:p>
      <w:pPr>
        <w:pStyle w:val="Normal"/>
        <w:rPr>
          <w:b/>
          <w:sz w:val="24"/>
          <w:u w:val="single"/>
        </w:rPr>
      </w:pPr>
      <w:r>
        <w:rPr>
          <w:b/>
          <w:sz w:val="24"/>
          <w:u w:val="single"/>
        </w:rPr>
        <w:t>I. Summary:</w:t>
      </w:r>
    </w:p>
    <w:p>
      <w:pPr>
        <w:pStyle w:val="Normal"/>
        <w:rPr>
          <w:b/>
          <w:sz w:val="24"/>
          <w:u w:val="single"/>
        </w:rPr>
      </w:pPr>
      <w:r>
        <w:rPr>
          <w:b/>
          <w:sz w:val="24"/>
          <w:u w:val="single"/>
        </w:rPr>
      </w:r>
    </w:p>
    <w:p>
      <w:pPr>
        <w:pStyle w:val="BodyText2"/>
        <w:numPr>
          <w:ilvl w:val="0"/>
          <w:numId w:val="16"/>
        </w:numPr>
        <w:jc w:val="both"/>
        <w:rPr/>
      </w:pPr>
      <w:r>
        <w:rPr/>
        <w:t>Algorithm and Actual Calculational Results (Deal Names: Eli Lilly and Electrolux, Section Vb) for the Total/Potential Exposure for counterparty or transaction, and portfolios, along with eight other metrics useful for credit risk management and assessment.</w:t>
      </w:r>
    </w:p>
    <w:p>
      <w:pPr>
        <w:pStyle w:val="BodyText2"/>
        <w:numPr>
          <w:ilvl w:val="0"/>
          <w:numId w:val="16"/>
        </w:numPr>
        <w:jc w:val="both"/>
        <w:rPr/>
      </w:pPr>
      <w:r>
        <w:rPr/>
        <w:t>Proposals for portfolio (ie, counterparty ) RiskTrack implementation.</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pPr>
      <w:r>
        <w:rPr>
          <w:sz w:val="24"/>
        </w:rPr>
        <w:t xml:space="preserve"> </w:t>
      </w:r>
      <w:r>
        <w:rPr>
          <w:b/>
          <w:sz w:val="24"/>
          <w:u w:val="single"/>
        </w:rPr>
        <w:t>II. Introduction:</w:t>
      </w:r>
    </w:p>
    <w:p>
      <w:pPr>
        <w:pStyle w:val="Normal"/>
        <w:jc w:val="both"/>
        <w:rPr>
          <w:b/>
          <w:sz w:val="24"/>
          <w:u w:val="single"/>
        </w:rPr>
      </w:pPr>
      <w:r>
        <w:rPr>
          <w:b/>
          <w:sz w:val="24"/>
          <w:u w:val="single"/>
        </w:rPr>
      </w:r>
    </w:p>
    <w:p>
      <w:pPr>
        <w:pStyle w:val="Normal"/>
        <w:numPr>
          <w:ilvl w:val="0"/>
          <w:numId w:val="2"/>
        </w:numPr>
        <w:jc w:val="both"/>
        <w:rPr>
          <w:sz w:val="24"/>
        </w:rPr>
      </w:pPr>
      <w:r>
        <w:rPr>
          <w:sz w:val="24"/>
        </w:rPr>
        <w:t>This paper focuses on estimating counterparty credit risk for derivative portfolios.  Here credit risk is defined as the risk of loss incurred in the event of a default (as opposed to credit migrations, etc.).  This is what the current credit reserve model is based on.  Default occurs if the counterparty fails to honor its contractual payments.</w:t>
      </w:r>
    </w:p>
    <w:p>
      <w:pPr>
        <w:pStyle w:val="Normal"/>
        <w:jc w:val="both"/>
        <w:rPr>
          <w:sz w:val="24"/>
        </w:rPr>
      </w:pPr>
      <w:r>
        <w:rPr>
          <w:sz w:val="24"/>
        </w:rPr>
      </w:r>
    </w:p>
    <w:p>
      <w:pPr>
        <w:pStyle w:val="Normal"/>
        <w:numPr>
          <w:ilvl w:val="0"/>
          <w:numId w:val="11"/>
        </w:numPr>
        <w:jc w:val="both"/>
        <w:rPr>
          <w:sz w:val="24"/>
        </w:rPr>
      </w:pPr>
      <w:r>
        <w:rPr>
          <w:sz w:val="24"/>
        </w:rPr>
        <w:t>We need to model three processes that define credit risk: (1) the counterparty credit exposure at the time of default, (2) the probability that default will occur, and (3) the amount that can be recovered after default occurs.</w:t>
      </w:r>
    </w:p>
    <w:p>
      <w:pPr>
        <w:pStyle w:val="Normal"/>
        <w:jc w:val="both"/>
        <w:rPr>
          <w:sz w:val="24"/>
        </w:rPr>
      </w:pPr>
      <w:r>
        <w:rPr>
          <w:sz w:val="24"/>
        </w:rPr>
      </w:r>
    </w:p>
    <w:p>
      <w:pPr>
        <w:pStyle w:val="Normal"/>
        <w:numPr>
          <w:ilvl w:val="0"/>
          <w:numId w:val="8"/>
        </w:numPr>
        <w:jc w:val="both"/>
        <w:rPr>
          <w:sz w:val="24"/>
        </w:rPr>
      </w:pPr>
      <w:r>
        <w:rPr>
          <w:sz w:val="24"/>
        </w:rPr>
        <w:t>There are 2 types of credit risk:  (1) Pre-settlement risk -- losses arising from prematurely terminating a contract due to counterparty default.  This loss depends on the replacement value of the contract at the time of default.   (2) Settlement Risk:  This loss refers to the losses realized when contractual payments are not received on the settlement date.  In this discussion, we consider only pre-settlement risk.</w:t>
      </w:r>
    </w:p>
    <w:p>
      <w:pPr>
        <w:pStyle w:val="Normal"/>
        <w:jc w:val="both"/>
        <w:rPr>
          <w:b/>
          <w:sz w:val="24"/>
          <w:u w:val="single"/>
        </w:rPr>
      </w:pPr>
      <w:r>
        <w:rPr>
          <w:b/>
          <w:sz w:val="24"/>
          <w:u w:val="single"/>
        </w:rPr>
      </w:r>
    </w:p>
    <w:p>
      <w:pPr>
        <w:pStyle w:val="Normal"/>
        <w:jc w:val="both"/>
        <w:rPr>
          <w:b/>
          <w:sz w:val="24"/>
          <w:u w:val="single"/>
        </w:rPr>
      </w:pPr>
      <w:r>
        <w:rPr>
          <w:b/>
          <w:sz w:val="24"/>
          <w:u w:val="single"/>
        </w:rPr>
        <w:t>III. Credit Exposure:</w:t>
      </w:r>
    </w:p>
    <w:p>
      <w:pPr>
        <w:pStyle w:val="Normal"/>
        <w:jc w:val="both"/>
        <w:rPr>
          <w:b/>
          <w:sz w:val="24"/>
          <w:u w:val="single"/>
        </w:rPr>
      </w:pPr>
      <w:r>
        <w:rPr>
          <w:b/>
          <w:sz w:val="24"/>
          <w:u w:val="single"/>
        </w:rPr>
      </w:r>
    </w:p>
    <w:p>
      <w:pPr>
        <w:pStyle w:val="Normal"/>
        <w:numPr>
          <w:ilvl w:val="0"/>
          <w:numId w:val="9"/>
        </w:numPr>
        <w:jc w:val="both"/>
        <w:rPr>
          <w:b/>
          <w:sz w:val="24"/>
          <w:u w:val="single"/>
        </w:rPr>
      </w:pPr>
      <w:r>
        <w:rPr>
          <w:sz w:val="24"/>
        </w:rPr>
        <w:t xml:space="preserve">Credit Exposure is the cost of replacing or hedging the contract at the time of default.  This is the </w:t>
      </w:r>
      <w:r>
        <w:rPr>
          <w:sz w:val="24"/>
          <w:u w:val="single"/>
        </w:rPr>
        <w:t>maximum value</w:t>
      </w:r>
      <w:r>
        <w:rPr>
          <w:sz w:val="24"/>
        </w:rPr>
        <w:t xml:space="preserve"> that will be lost if the counterparty to the contract defaults.  Since default is an uncertain event that can occur at any time during the life of the contract, we consider not only the contract’s </w:t>
      </w:r>
      <w:r>
        <w:rPr>
          <w:b/>
          <w:sz w:val="24"/>
        </w:rPr>
        <w:t xml:space="preserve">current exposure, </w:t>
      </w:r>
      <w:r>
        <w:rPr>
          <w:sz w:val="24"/>
        </w:rPr>
        <w:t xml:space="preserve">but also the potential changes in exposure during the contract’s life.  Therefore we introduce three measures of credit exposure:  </w:t>
      </w:r>
      <w:r>
        <w:rPr>
          <w:b/>
          <w:sz w:val="24"/>
        </w:rPr>
        <w:t>Actual Exposure, Total Exposure and Potential Exposure.</w:t>
      </w:r>
    </w:p>
    <w:p>
      <w:pPr>
        <w:pStyle w:val="Normal"/>
        <w:jc w:val="both"/>
        <w:rPr>
          <w:b/>
          <w:sz w:val="24"/>
          <w:u w:val="single"/>
        </w:rPr>
      </w:pPr>
      <w:r>
        <w:rPr>
          <w:b/>
          <w:sz w:val="24"/>
          <w:u w:val="single"/>
        </w:rPr>
      </w:r>
    </w:p>
    <w:p>
      <w:pPr>
        <w:pStyle w:val="Normal"/>
        <w:numPr>
          <w:ilvl w:val="0"/>
          <w:numId w:val="20"/>
        </w:numPr>
        <w:jc w:val="both"/>
        <w:rPr>
          <w:b/>
          <w:sz w:val="24"/>
          <w:u w:val="single"/>
        </w:rPr>
      </w:pPr>
      <w:r>
        <w:rPr>
          <w:b/>
          <w:sz w:val="24"/>
        </w:rPr>
        <w:t>Actual Exposure</w:t>
      </w:r>
      <w:r>
        <w:rPr>
          <w:sz w:val="24"/>
        </w:rPr>
        <w:t xml:space="preserve"> of a contract c  defined </w:t>
      </w:r>
    </w:p>
    <w:p>
      <w:pPr>
        <w:pStyle w:val="Normal"/>
        <w:jc w:val="both"/>
        <w:rPr>
          <w:b/>
          <w:sz w:val="24"/>
          <w:u w:val="single"/>
        </w:rPr>
      </w:pPr>
      <w:r>
        <w:rPr>
          <w:b/>
          <w:sz w:val="24"/>
          <w:u w:val="single"/>
        </w:rPr>
      </w:r>
    </w:p>
    <w:p>
      <w:pPr>
        <w:pStyle w:val="Normal"/>
        <w:ind w:start="2880" w:end="0"/>
        <w:jc w:val="both"/>
        <w:rPr/>
      </w:pPr>
      <w:r>
        <w:rPr>
          <w:sz w:val="24"/>
        </w:rPr>
      </w:r>
      <m:oMath xmlns:m="http://schemas.openxmlformats.org/officeDocument/2006/math">
        <m:r>
          <m:rPr>
            <m:lit/>
            <m:nor/>
          </m:rPr>
          <m:t xml:space="preserve">AE</m:t>
        </m:r>
        <m:r>
          <m:t xml:space="preserve">(</m:t>
        </m:r>
        <m:r>
          <m:rPr>
            <m:lit/>
            <m:nor/>
          </m:rPr>
          <m:t xml:space="preserve">c,t</m:t>
        </m:r>
        <m:r>
          <m:t xml:space="preserve">)</m:t>
        </m:r>
        <m:r>
          <m:t xml:space="preserve"> </m:t>
        </m:r>
        <m:r>
          <m:t xml:space="preserve">=</m:t>
        </m:r>
        <m:r>
          <m:t xml:space="preserve"> </m:t>
        </m:r>
        <m:r>
          <m:rPr>
            <m:lit/>
            <m:nor/>
          </m:rPr>
          <m:t xml:space="preserve">Max</m:t>
        </m:r>
        <m:d>
          <m:dPr>
            <m:begChr m:val="{"/>
            <m:endChr m:val="}"/>
          </m:dPr>
          <m:e>
            <m:r>
              <m:t xml:space="preserve">0</m:t>
            </m:r>
            <m:r>
              <m:t xml:space="preserve">,</m:t>
            </m:r>
            <m:r>
              <m:t xml:space="preserve">V</m:t>
            </m:r>
            <m:r>
              <m:t xml:space="preserve">(</m:t>
            </m:r>
            <m:r>
              <m:t xml:space="preserve">c</m:t>
            </m:r>
            <m:r>
              <m:t xml:space="preserve">,</m:t>
            </m:r>
            <m:r>
              <m:t xml:space="preserve">t</m:t>
            </m:r>
            <m:r>
              <m:t xml:space="preserve">)</m:t>
            </m:r>
          </m:e>
        </m:d>
      </m:oMath>
      <w:r>
        <w:rPr>
          <w:sz w:val="24"/>
        </w:rPr>
        <w:t xml:space="preserve"> </w:t>
      </w:r>
      <w:r>
        <w:rPr>
          <w:b/>
          <w:sz w:val="24"/>
        </w:rPr>
        <w:t xml:space="preserve">+ Net </w:t>
        <w:tab/>
        <w:t>A/R</w:t>
      </w:r>
      <w:r>
        <w:rPr>
          <w:sz w:val="24"/>
        </w:rPr>
        <w:tab/>
        <w:t xml:space="preserve">                   (1)</w:t>
      </w:r>
    </w:p>
    <w:p>
      <w:pPr>
        <w:pStyle w:val="Normal"/>
        <w:tabs>
          <w:tab w:val="clear" w:pos="720"/>
          <w:tab w:val="left" w:pos="0" w:leader="none"/>
        </w:tabs>
        <w:ind w:hanging="2880" w:start="2880" w:end="0"/>
        <w:jc w:val="both"/>
        <w:rPr>
          <w:sz w:val="24"/>
        </w:rPr>
      </w:pPr>
      <w:r>
        <w:rPr>
          <w:sz w:val="24"/>
        </w:rPr>
      </w:r>
    </w:p>
    <w:p>
      <w:pPr>
        <w:pStyle w:val="BodyText"/>
        <w:tabs>
          <w:tab w:val="clear" w:pos="0"/>
          <w:tab w:val="left" w:pos="360" w:leader="none"/>
        </w:tabs>
        <w:ind w:start="360" w:end="0"/>
        <w:rPr/>
      </w:pPr>
      <w:r>
        <w:rPr/>
        <w:t xml:space="preserve"> </w:t>
      </w:r>
      <w:r>
        <w:rPr/>
        <w:t>Here V(c,t) is the value of the contract at time t.  Currently we obtain V(c,t) in our system by simulating Forward curves (based on Mutifactor HJM model) using the curve simulation code utilized in our Value at Risk system.  Net A/R represents the total accounts receivable over a certain billing cycle, usually current month and previous month (netting should be included as appropriate).   If t is the current time, the actual exposure then depends on the current marked-to-market of the portfolio.  If t is a future point in time, then AE(c,t) is defined with respect to an assumed state at time t.</w:t>
      </w:r>
    </w:p>
    <w:p>
      <w:pPr>
        <w:pStyle w:val="BodyText"/>
        <w:tabs>
          <w:tab w:val="clear" w:pos="0"/>
          <w:tab w:val="left" w:pos="360" w:leader="none"/>
        </w:tabs>
        <w:ind w:start="360" w:end="0"/>
        <w:rPr/>
      </w:pPr>
      <w:r>
        <w:rPr/>
      </w:r>
    </w:p>
    <w:p>
      <w:pPr>
        <w:pStyle w:val="BodyText"/>
        <w:numPr>
          <w:ilvl w:val="0"/>
          <w:numId w:val="17"/>
        </w:numPr>
        <w:tabs>
          <w:tab w:val="clear" w:pos="0"/>
          <w:tab w:val="left" w:pos="720" w:leader="none"/>
        </w:tabs>
        <w:ind w:hanging="360" w:start="720" w:end="0"/>
        <w:rPr/>
      </w:pPr>
      <w:r>
        <w:rPr/>
        <w:t>A more practical way to achieve that is to force the default at each month, and calculate the various exposures and losses (assuming a given recovery.  See the ensuing paragraphs for that).</w:t>
      </w:r>
    </w:p>
    <w:p>
      <w:pPr>
        <w:pStyle w:val="BodyText"/>
        <w:tabs>
          <w:tab w:val="clear" w:pos="0"/>
          <w:tab w:val="left" w:pos="360" w:leader="none"/>
        </w:tabs>
        <w:ind w:start="360" w:end="0"/>
        <w:rPr/>
      </w:pPr>
      <w:r>
        <w:rPr/>
      </w:r>
    </w:p>
    <w:p>
      <w:pPr>
        <w:pStyle w:val="BodyText"/>
        <w:tabs>
          <w:tab w:val="clear" w:pos="0"/>
          <w:tab w:val="left" w:pos="360" w:leader="none"/>
        </w:tabs>
        <w:ind w:start="360" w:end="0"/>
        <w:rPr>
          <w:b/>
          <w:u w:val="single"/>
        </w:rPr>
      </w:pPr>
      <w:r>
        <w:rPr>
          <w:b/>
          <w:u w:val="single"/>
        </w:rPr>
        <w:t>Examples:  1.  Swap/Options</w:t>
      </w:r>
    </w:p>
    <w:p>
      <w:pPr>
        <w:pStyle w:val="BodyText"/>
        <w:tabs>
          <w:tab w:val="clear" w:pos="0"/>
          <w:tab w:val="left" w:pos="360" w:leader="none"/>
        </w:tabs>
        <w:ind w:start="360" w:end="0"/>
        <w:rPr>
          <w:b/>
          <w:u w:val="single"/>
        </w:rPr>
      </w:pPr>
      <w:r>
        <w:rPr>
          <w:b/>
          <w:u w:val="single"/>
        </w:rPr>
      </w:r>
    </w:p>
    <w:p>
      <w:pPr>
        <w:pStyle w:val="BodyText"/>
        <w:tabs>
          <w:tab w:val="clear" w:pos="0"/>
          <w:tab w:val="left" w:pos="360" w:leader="none"/>
        </w:tabs>
        <w:ind w:start="360" w:end="0"/>
        <w:rPr>
          <w:u w:val="single"/>
        </w:rPr>
      </w:pPr>
      <w:r>
        <w:rPr>
          <w:u w:val="single"/>
        </w:rPr>
        <w:t>Today = eff_date                         Settlement date</w:t>
      </w:r>
    </w:p>
    <w:p>
      <w:pPr>
        <w:pStyle w:val="BodyText"/>
        <w:tabs>
          <w:tab w:val="clear" w:pos="0"/>
          <w:tab w:val="left" w:pos="360" w:leader="none"/>
        </w:tabs>
        <w:ind w:start="360" w:end="0"/>
        <w:rPr/>
      </w:pPr>
      <w:r>
        <w:rPr/>
        <w:t>T = 0     F0                K                        SD1</w:t>
      </w:r>
    </w:p>
    <w:p>
      <w:pPr>
        <w:pStyle w:val="BodyText"/>
        <w:tabs>
          <w:tab w:val="clear" w:pos="0"/>
          <w:tab w:val="left" w:pos="360" w:leader="none"/>
        </w:tabs>
        <w:ind w:start="360" w:end="0"/>
        <w:rPr/>
      </w:pPr>
      <w:r>
        <w:rPr/>
        <w:t>T = 1     F1                K                        SD2</w:t>
      </w:r>
    </w:p>
    <w:p>
      <w:pPr>
        <w:pStyle w:val="BodyText"/>
        <w:tabs>
          <w:tab w:val="clear" w:pos="0"/>
          <w:tab w:val="left" w:pos="360" w:leader="none"/>
        </w:tabs>
        <w:ind w:start="360" w:end="0"/>
        <w:rPr/>
      </w:pPr>
      <w:r>
        <w:rPr/>
        <w:t>T = 2     F2                K                        SD3</w:t>
      </w:r>
    </w:p>
    <w:p>
      <w:pPr>
        <w:pStyle w:val="BodyText"/>
        <w:tabs>
          <w:tab w:val="clear" w:pos="0"/>
          <w:tab w:val="left" w:pos="360" w:leader="none"/>
        </w:tabs>
        <w:ind w:start="360" w:end="0"/>
        <w:rPr/>
      </w:pPr>
      <w:r>
        <w:rPr/>
        <w:t>T = 3     F3                K                        SD4</w:t>
      </w:r>
    </w:p>
    <w:p>
      <w:pPr>
        <w:pStyle w:val="BodyText"/>
        <w:tabs>
          <w:tab w:val="clear" w:pos="0"/>
          <w:tab w:val="left" w:pos="360" w:leader="none"/>
        </w:tabs>
        <w:ind w:start="360" w:end="0"/>
        <w:rPr/>
      </w:pPr>
      <w:r>
        <w:rPr/>
        <w:t>T = 4     F4                K                        SD5</w:t>
      </w:r>
    </w:p>
    <w:p>
      <w:pPr>
        <w:pStyle w:val="BodyText"/>
        <w:tabs>
          <w:tab w:val="clear" w:pos="0"/>
          <w:tab w:val="left" w:pos="360" w:leader="none"/>
        </w:tabs>
        <w:ind w:start="360" w:end="0"/>
        <w:rPr/>
      </w:pPr>
      <w:r>
        <w:rPr/>
        <w:t>T = 5     F5                K                        SD6</w:t>
      </w:r>
    </w:p>
    <w:p>
      <w:pPr>
        <w:pStyle w:val="BodyText"/>
        <w:tabs>
          <w:tab w:val="clear" w:pos="0"/>
          <w:tab w:val="left" w:pos="360" w:leader="none"/>
        </w:tabs>
        <w:ind w:start="360" w:end="0"/>
        <w:rPr/>
      </w:pPr>
      <w:r>
        <w:rPr/>
        <w:t>T = 6     F6                K                        SD7</w:t>
      </w:r>
    </w:p>
    <w:p>
      <w:pPr>
        <w:pStyle w:val="BodyText"/>
        <w:tabs>
          <w:tab w:val="clear" w:pos="0"/>
          <w:tab w:val="left" w:pos="360" w:leader="none"/>
        </w:tabs>
        <w:ind w:start="360" w:end="0"/>
        <w:rPr/>
      </w:pPr>
      <w:r>
        <w:rPr/>
        <w:t>T = 7     F7                K                        SD8</w:t>
      </w:r>
    </w:p>
    <w:p>
      <w:pPr>
        <w:pStyle w:val="BodyText"/>
        <w:tabs>
          <w:tab w:val="clear" w:pos="0"/>
          <w:tab w:val="left" w:pos="360" w:leader="none"/>
        </w:tabs>
        <w:ind w:start="360" w:end="0"/>
        <w:rPr>
          <w:b/>
          <w:u w:val="single"/>
        </w:rPr>
      </w:pPr>
      <w:r>
        <w:rPr>
          <w:b/>
          <w:u w:val="single"/>
        </w:rPr>
        <w:t xml:space="preserve">         </w:t>
      </w:r>
    </w:p>
    <w:p>
      <w:pPr>
        <w:pStyle w:val="BodyText"/>
        <w:tabs>
          <w:tab w:val="clear" w:pos="0"/>
          <w:tab w:val="left" w:pos="360" w:leader="none"/>
        </w:tabs>
        <w:ind w:start="360" w:end="0"/>
        <w:rPr/>
      </w:pPr>
      <w:r>
        <w:rPr/>
        <w:t>Do I = 1 to 30,000 simulations</w:t>
      </w:r>
    </w:p>
    <w:p>
      <w:pPr>
        <w:pStyle w:val="BodyText"/>
        <w:tabs>
          <w:tab w:val="clear" w:pos="0"/>
          <w:tab w:val="left" w:pos="360" w:leader="none"/>
        </w:tabs>
        <w:ind w:start="360" w:end="0"/>
        <w:rPr/>
      </w:pPr>
      <w:r>
        <w:rPr/>
        <w:t xml:space="preserve">             </w:t>
      </w:r>
      <w:r>
        <w:rPr>
          <w:rFonts w:cs="Symbol" w:ascii="Symbol" w:hAnsi="Symbol"/>
        </w:rPr>
        <w:sym w:font="Symbol" w:char="f074"/>
      </w:r>
      <w:r>
        <w:rPr/>
        <w:t xml:space="preserve"> </w:t>
      </w:r>
      <w:r>
        <w:rPr/>
        <w:t>= 1</w:t>
      </w:r>
      <w:r>
        <w:rPr>
          <w:b/>
          <w:u w:val="single"/>
        </w:rPr>
        <w:t xml:space="preserve">       </w:t>
      </w:r>
      <w:r>
        <w:rPr/>
        <w:t>(ie default happens at 1)</w:t>
      </w:r>
    </w:p>
    <w:p>
      <w:pPr>
        <w:pStyle w:val="BodyText"/>
        <w:tabs>
          <w:tab w:val="clear" w:pos="0"/>
          <w:tab w:val="left" w:pos="360" w:leader="none"/>
        </w:tabs>
        <w:ind w:start="360" w:end="0"/>
        <w:rPr/>
      </w:pPr>
      <w:r>
        <w:rPr/>
        <w:t xml:space="preserve">              </w:t>
      </w:r>
      <w:r>
        <w:rPr/>
        <w:t>Move all forwrad prices greater than 1</w:t>
      </w:r>
    </w:p>
    <w:p>
      <w:pPr>
        <w:pStyle w:val="BodyText"/>
        <w:tabs>
          <w:tab w:val="clear" w:pos="0"/>
          <w:tab w:val="left" w:pos="360" w:leader="none"/>
        </w:tabs>
        <w:ind w:start="360" w:end="0"/>
        <w:rPr/>
      </w:pPr>
      <w:r>
        <w:rPr/>
        <w:t xml:space="preserve">              </w:t>
      </w:r>
      <w:r>
        <w:rPr/>
        <w:t>Also, if T=1 less than SD2 (Settlement date 2), include the intrinsic value for that in there.</w:t>
      </w:r>
    </w:p>
    <w:p>
      <w:pPr>
        <w:pStyle w:val="BodyText"/>
        <w:tabs>
          <w:tab w:val="clear" w:pos="0"/>
          <w:tab w:val="left" w:pos="360" w:leader="none"/>
        </w:tabs>
        <w:ind w:start="360" w:end="0"/>
        <w:rPr/>
      </w:pPr>
      <w:r>
        <w:rPr/>
      </w:r>
    </w:p>
    <w:p>
      <w:pPr>
        <w:pStyle w:val="BodyText"/>
        <w:tabs>
          <w:tab w:val="clear" w:pos="0"/>
          <w:tab w:val="left" w:pos="360" w:leader="none"/>
        </w:tabs>
        <w:ind w:start="360" w:end="0"/>
        <w:rPr/>
      </w:pPr>
      <w:r>
        <w:rPr/>
        <w:t>F</w:t>
      </w:r>
      <w:r>
        <w:rPr>
          <w:vertAlign w:val="subscript"/>
        </w:rPr>
        <w:t>iT=1</w:t>
      </w:r>
      <w:r>
        <w:rPr/>
        <w:tab/>
        <w:t>=</w:t>
        <w:tab/>
      </w:r>
      <w:r>
        <w:rPr>
          <w:b/>
        </w:rPr>
        <w:t>Over all time steps</w:t>
      </w:r>
      <w:r>
        <w:rPr/>
        <w:t xml:space="preserve"> F</w:t>
      </w:r>
      <w:r>
        <w:rPr>
          <w:vertAlign w:val="subscript"/>
        </w:rPr>
        <w:t>I</w:t>
      </w:r>
      <w:r>
        <w:rPr/>
        <w:t xml:space="preserve"> exp[-.5*(drift)dt + Sum-Factor</w:t>
      </w:r>
      <w:r>
        <w:rPr>
          <w:vertAlign w:val="subscript"/>
        </w:rPr>
        <w:t>j</w:t>
      </w:r>
      <w:r>
        <w:rPr/>
        <w:t xml:space="preserve"> dW</w:t>
      </w:r>
      <w:r>
        <w:rPr>
          <w:vertAlign w:val="subscript"/>
        </w:rPr>
        <w:t>j</w:t>
      </w:r>
      <w:r>
        <w:rPr/>
        <w:t>]</w:t>
      </w:r>
    </w:p>
    <w:p>
      <w:pPr>
        <w:pStyle w:val="BodyText"/>
        <w:tabs>
          <w:tab w:val="clear" w:pos="0"/>
          <w:tab w:val="left" w:pos="360" w:leader="none"/>
        </w:tabs>
        <w:ind w:start="360" w:end="0"/>
        <w:rPr/>
      </w:pPr>
      <w:r>
        <w:rPr/>
        <w:t xml:space="preserve">(Multi-Factor HJM Methodology) </w:t>
      </w:r>
    </w:p>
    <w:p>
      <w:pPr>
        <w:pStyle w:val="BodyText"/>
        <w:tabs>
          <w:tab w:val="clear" w:pos="0"/>
          <w:tab w:val="left" w:pos="360" w:leader="none"/>
        </w:tabs>
        <w:ind w:start="360" w:end="0"/>
        <w:rPr/>
      </w:pPr>
      <w:r>
        <w:rPr/>
        <w:t>V(c,T=1) = Sum over i (F</w:t>
      </w:r>
      <w:r>
        <w:rPr>
          <w:vertAlign w:val="subscript"/>
        </w:rPr>
        <w:t xml:space="preserve">iT=1   </w:t>
      </w:r>
      <w:r>
        <w:rPr/>
        <w:t>-  K)*Discount Factor  (I &gt; 1)</w:t>
      </w:r>
    </w:p>
    <w:p>
      <w:pPr>
        <w:pStyle w:val="BodyText"/>
        <w:tabs>
          <w:tab w:val="clear" w:pos="0"/>
          <w:tab w:val="left" w:pos="360" w:leader="none"/>
        </w:tabs>
        <w:ind w:start="360" w:end="0"/>
        <w:rPr/>
      </w:pPr>
      <w:r>
        <w:rPr/>
        <w:t xml:space="preserve">                   </w:t>
      </w:r>
      <w:r>
        <w:rPr/>
        <w:t>+ (F1 – K)Discount Factor (if SD2 &gt; T =1 )</w:t>
      </w:r>
    </w:p>
    <w:p>
      <w:pPr>
        <w:pStyle w:val="BodyText"/>
        <w:tabs>
          <w:tab w:val="clear" w:pos="0"/>
          <w:tab w:val="left" w:pos="360" w:leader="none"/>
        </w:tabs>
        <w:ind w:start="360" w:end="0"/>
        <w:rPr/>
      </w:pPr>
      <w:r>
        <w:rPr/>
        <w:t>EndDo</w:t>
      </w:r>
    </w:p>
    <w:p>
      <w:pPr>
        <w:pStyle w:val="BodyText"/>
        <w:tabs>
          <w:tab w:val="clear" w:pos="0"/>
          <w:tab w:val="left" w:pos="360" w:leader="none"/>
        </w:tabs>
        <w:ind w:start="360" w:end="0"/>
        <w:rPr/>
      </w:pPr>
      <w:r>
        <w:rPr/>
      </w:r>
    </w:p>
    <w:p>
      <w:pPr>
        <w:pStyle w:val="BodyText"/>
        <w:numPr>
          <w:ilvl w:val="0"/>
          <w:numId w:val="5"/>
        </w:numPr>
        <w:tabs>
          <w:tab w:val="clear" w:pos="0"/>
          <w:tab w:val="left" w:pos="720" w:leader="none"/>
          <w:tab w:val="left" w:pos="780" w:leader="none"/>
        </w:tabs>
        <w:ind w:hanging="360" w:start="720" w:end="0"/>
        <w:rPr/>
      </w:pPr>
      <w:r>
        <w:rPr/>
        <w:t>For each time step, obtain Exposures and Losses at various confidence levels.</w:t>
      </w:r>
    </w:p>
    <w:p>
      <w:pPr>
        <w:pStyle w:val="BodyText"/>
        <w:tabs>
          <w:tab w:val="clear" w:pos="0"/>
          <w:tab w:val="left" w:pos="780" w:leader="none"/>
        </w:tabs>
        <w:rPr/>
      </w:pPr>
      <w:r>
        <w:rPr/>
      </w:r>
    </w:p>
    <w:p>
      <w:pPr>
        <w:pStyle w:val="BodyText"/>
        <w:tabs>
          <w:tab w:val="clear" w:pos="0"/>
          <w:tab w:val="left" w:pos="360" w:leader="none"/>
        </w:tabs>
        <w:ind w:start="360" w:end="0"/>
        <w:rPr/>
      </w:pPr>
      <w:r>
        <w:rPr/>
        <w:t>For Options, V(c,T=1) = Sum over i C</w:t>
      </w:r>
      <w:r>
        <w:rPr>
          <w:vertAlign w:val="subscript"/>
        </w:rPr>
        <w:t>i</w:t>
      </w:r>
      <w:r>
        <w:rPr/>
        <w:t>(F</w:t>
      </w:r>
      <w:r>
        <w:rPr>
          <w:vertAlign w:val="subscript"/>
        </w:rPr>
        <w:t xml:space="preserve">iT=1  , </w:t>
      </w:r>
      <w:r>
        <w:rPr/>
        <w:t>K)*Discount Factor  (I &gt; 1)</w:t>
      </w:r>
    </w:p>
    <w:p>
      <w:pPr>
        <w:pStyle w:val="BodyText"/>
        <w:tabs>
          <w:tab w:val="clear" w:pos="0"/>
          <w:tab w:val="left" w:pos="360" w:leader="none"/>
        </w:tabs>
        <w:ind w:start="360" w:end="0"/>
        <w:rPr/>
      </w:pPr>
      <w:r>
        <w:rPr/>
        <w:t xml:space="preserve">                   </w:t>
      </w:r>
      <w:r>
        <w:rPr/>
        <w:t>+ (F1 – K)Discount Factor (if SD2 &gt; T =1 )</w:t>
      </w:r>
    </w:p>
    <w:p>
      <w:pPr>
        <w:pStyle w:val="BodyText"/>
        <w:tabs>
          <w:tab w:val="clear" w:pos="0"/>
          <w:tab w:val="left" w:pos="360" w:leader="none"/>
        </w:tabs>
        <w:ind w:start="360" w:end="0"/>
        <w:rPr/>
      </w:pPr>
      <w:r>
        <w:rPr/>
        <w:t>Here C</w:t>
      </w:r>
      <w:r>
        <w:rPr>
          <w:vertAlign w:val="subscript"/>
        </w:rPr>
        <w:t>i</w:t>
      </w:r>
      <w:r>
        <w:rPr/>
        <w:t xml:space="preserve"> is the Call Option value.</w:t>
      </w:r>
    </w:p>
    <w:p>
      <w:pPr>
        <w:pStyle w:val="BodyText"/>
        <w:tabs>
          <w:tab w:val="clear" w:pos="0"/>
        </w:tabs>
        <w:rPr/>
      </w:pPr>
      <w:r>
        <w:rPr/>
      </w:r>
    </w:p>
    <w:p>
      <w:pPr>
        <w:pStyle w:val="BodyText"/>
        <w:tabs>
          <w:tab w:val="clear" w:pos="0"/>
          <w:tab w:val="left" w:pos="360" w:leader="none"/>
        </w:tabs>
        <w:ind w:start="360" w:end="0"/>
        <w:rPr/>
      </w:pPr>
      <w:r>
        <w:rPr/>
      </w:r>
    </w:p>
    <w:p>
      <w:pPr>
        <w:pStyle w:val="BodyText"/>
        <w:tabs>
          <w:tab w:val="clear" w:pos="0"/>
          <w:tab w:val="left" w:pos="360" w:leader="none"/>
        </w:tabs>
        <w:ind w:start="360" w:end="0"/>
        <w:rPr/>
      </w:pPr>
      <w:r>
        <w:rPr/>
        <w:t xml:space="preserve">     </w:t>
      </w:r>
      <w:r>
        <w:rPr/>
        <w:tab/>
        <w:tab/>
      </w:r>
    </w:p>
    <w:p>
      <w:pPr>
        <w:pStyle w:val="BodyText"/>
        <w:numPr>
          <w:ilvl w:val="0"/>
          <w:numId w:val="4"/>
        </w:numPr>
        <w:tabs>
          <w:tab w:val="clear" w:pos="0"/>
          <w:tab w:val="left" w:pos="360" w:leader="none"/>
        </w:tabs>
        <w:rPr/>
      </w:pPr>
      <w:r>
        <w:rPr/>
        <w:t xml:space="preserve">The </w:t>
      </w:r>
      <w:r>
        <w:rPr>
          <w:b/>
        </w:rPr>
        <w:t xml:space="preserve">Potential Exposure </w:t>
      </w:r>
      <w:r>
        <w:rPr/>
        <w:t xml:space="preserve">of the contract is the </w:t>
      </w:r>
      <w:r>
        <w:rPr>
          <w:b/>
          <w:i/>
        </w:rPr>
        <w:t xml:space="preserve">additional </w:t>
      </w:r>
      <w:r>
        <w:rPr/>
        <w:t xml:space="preserve">amount (over the Actual Exposure) that will be lost if default occurs not at time t, but at some time </w:t>
      </w:r>
      <w:r>
        <w:rPr>
          <w:rFonts w:cs="Symbol" w:ascii="Symbol" w:hAnsi="Symbol"/>
        </w:rPr>
        <w:sym w:font="Symbol" w:char="f074"/>
        <w:sym w:font="Symbol" w:char="f020"/>
      </w:r>
      <w:r>
        <w:rPr/>
        <w:t>between t and the maturity of the contract, T:</w:t>
      </w:r>
    </w:p>
    <w:p>
      <w:pPr>
        <w:pStyle w:val="BodyText"/>
        <w:tabs>
          <w:tab w:val="clear" w:pos="0"/>
        </w:tabs>
        <w:rPr/>
      </w:pPr>
      <w:r>
        <w:rPr/>
      </w:r>
    </w:p>
    <w:p>
      <w:pPr>
        <w:pStyle w:val="BodyText"/>
        <w:tabs>
          <w:tab w:val="clear" w:pos="0"/>
          <w:tab w:val="left" w:pos="360" w:leader="none"/>
        </w:tabs>
        <w:rPr/>
      </w:pPr>
      <w:r>
        <w:rPr/>
        <w:t xml:space="preserve">                                         </w:t>
      </w:r>
      <w:r>
        <w:rPr/>
      </w:r>
      <m:oMath xmlns:m="http://schemas.openxmlformats.org/officeDocument/2006/math">
        <m:r>
          <m:rPr>
            <m:lit/>
            <m:nor/>
          </m:rPr>
          <m:t xml:space="preserve">PE</m:t>
        </m:r>
        <m:r>
          <m:t xml:space="preserve">(</m:t>
        </m:r>
        <m:r>
          <m:t xml:space="preserve">c</m:t>
        </m:r>
        <m:r>
          <m:t xml:space="preserve">,</m:t>
        </m:r>
        <m:r>
          <m:t xml:space="preserve">t</m:t>
        </m:r>
        <m:r>
          <m:t xml:space="preserve">)</m:t>
        </m:r>
        <m:r>
          <m:t xml:space="preserve"> </m:t>
        </m:r>
        <m:r>
          <m:t xml:space="preserve">=</m:t>
        </m:r>
        <m:r>
          <m:t xml:space="preserve"> </m:t>
        </m:r>
        <m:r>
          <m:rPr>
            <m:lit/>
            <m:nor/>
          </m:rPr>
          <m:t xml:space="preserve">Max</m:t>
        </m:r>
        <m:d>
          <m:dPr>
            <m:begChr m:val="{"/>
            <m:endChr m:val="}"/>
          </m:dPr>
          <m:e>
            <m:r>
              <m:t xml:space="preserve">0</m:t>
            </m:r>
            <m:r>
              <m:t xml:space="preserve">,</m:t>
            </m:r>
            <m:sSub>
              <m:e>
                <m:r>
                  <m:rPr>
                    <m:lit/>
                    <m:nor/>
                  </m:rPr>
                  <m:t xml:space="preserve">Max</m:t>
                </m:r>
              </m:e>
              <m:sub>
                <m:r>
                  <m:t xml:space="preserve">t</m:t>
                </m:r>
                <m:r>
                  <m:t xml:space="preserve">≤</m:t>
                </m:r>
                <m:r>
                  <m:t xml:space="preserve"> </m:t>
                </m:r>
                <m:r>
                  <m:t xml:space="preserve">τ</m:t>
                </m:r>
                <m:r>
                  <m:t xml:space="preserve"> </m:t>
                </m:r>
                <m:r>
                  <m:t xml:space="preserve">≤</m:t>
                </m:r>
                <m:r>
                  <m:t xml:space="preserve">T</m:t>
                </m:r>
              </m:sub>
            </m:sSub>
            <m:d>
              <m:dPr>
                <m:begChr m:val="{"/>
                <m:endChr m:val="}"/>
              </m:dPr>
              <m:e>
                <m:sSub>
                  <m:e>
                    <m:r>
                      <m:rPr>
                        <m:lit/>
                        <m:nor/>
                      </m:rPr>
                      <m:t xml:space="preserve">PV</m:t>
                    </m:r>
                  </m:e>
                  <m:sub>
                    <m:r>
                      <m:t xml:space="preserve">t</m:t>
                    </m:r>
                  </m:sub>
                </m:sSub>
                <m:r>
                  <m:t xml:space="preserve">[</m:t>
                </m:r>
                <m:r>
                  <m:t xml:space="preserve">V</m:t>
                </m:r>
                <m:r>
                  <m:t xml:space="preserve">(</m:t>
                </m:r>
                <m:r>
                  <m:t xml:space="preserve">c</m:t>
                </m:r>
                <m:r>
                  <m:t xml:space="preserve">,</m:t>
                </m:r>
                <m:r>
                  <m:t xml:space="preserve">τ</m:t>
                </m:r>
                <m:r>
                  <m:t xml:space="preserve">)</m:t>
                </m:r>
                <m:r>
                  <m:t xml:space="preserve">]</m:t>
                </m:r>
                <m:r>
                  <m:t xml:space="preserve"> </m:t>
                </m:r>
                <m:r>
                  <m:t xml:space="preserve">−</m:t>
                </m:r>
                <m:r>
                  <m:t xml:space="preserve">V</m:t>
                </m:r>
                <m:r>
                  <m:t xml:space="preserve">(</m:t>
                </m:r>
                <m:r>
                  <m:t xml:space="preserve">c</m:t>
                </m:r>
                <m:r>
                  <m:t xml:space="preserve">,</m:t>
                </m:r>
                <m:r>
                  <m:t xml:space="preserve">t</m:t>
                </m:r>
                <m:r>
                  <m:t xml:space="preserve">)</m:t>
                </m:r>
              </m:e>
            </m:d>
          </m:e>
        </m:d>
      </m:oMath>
      <w:r>
        <w:rPr/>
        <w:t xml:space="preserve">      </w:t>
      </w:r>
      <w:r>
        <w:rPr/>
        <w:t>(2)</w:t>
      </w:r>
    </w:p>
    <w:p>
      <w:pPr>
        <w:pStyle w:val="BodyText"/>
        <w:tabs>
          <w:tab w:val="clear" w:pos="0"/>
          <w:tab w:val="left" w:pos="360" w:leader="none"/>
        </w:tabs>
        <w:rPr/>
      </w:pPr>
      <w:r>
        <w:rPr/>
      </w:r>
    </w:p>
    <w:p>
      <w:pPr>
        <w:pStyle w:val="BodyText"/>
        <w:tabs>
          <w:tab w:val="clear" w:pos="0"/>
          <w:tab w:val="left" w:pos="360" w:leader="none"/>
        </w:tabs>
        <w:rPr/>
      </w:pPr>
      <w:r>
        <w:rPr/>
        <w:t>where PV</w:t>
      </w:r>
      <w:r>
        <w:rPr>
          <w:vertAlign w:val="subscript"/>
        </w:rPr>
        <w:t>t</w:t>
      </w:r>
      <w:r>
        <w:rPr/>
        <w:t xml:space="preserve">[*] is the operator which transforms future values to the present at time t.  A </w:t>
      </w:r>
      <w:r>
        <w:rPr>
          <w:b/>
        </w:rPr>
        <w:t xml:space="preserve">market scenario </w:t>
      </w:r>
      <w:r>
        <w:rPr/>
        <w:t>is a particular simulation path.  The Potential Exposure must be defined with respect to a particular assumed market scenario.</w:t>
      </w:r>
    </w:p>
    <w:p>
      <w:pPr>
        <w:pStyle w:val="BodyText"/>
        <w:tabs>
          <w:tab w:val="clear" w:pos="0"/>
          <w:tab w:val="left" w:pos="360" w:leader="none"/>
        </w:tabs>
        <w:rPr/>
      </w:pPr>
      <w:r>
        <w:rPr/>
      </w:r>
    </w:p>
    <w:p>
      <w:pPr>
        <w:pStyle w:val="BodyText"/>
        <w:numPr>
          <w:ilvl w:val="0"/>
          <w:numId w:val="3"/>
        </w:numPr>
        <w:tabs>
          <w:tab w:val="clear" w:pos="0"/>
        </w:tabs>
        <w:rPr/>
      </w:pPr>
      <w:r>
        <w:rPr/>
        <w:t>The Total Exposure of the contract at time t is the sum of the Actual and Potential Exposure</w:t>
      </w:r>
    </w:p>
    <w:p>
      <w:pPr>
        <w:pStyle w:val="BodyText"/>
        <w:tabs>
          <w:tab w:val="clear" w:pos="0"/>
          <w:tab w:val="left" w:pos="360" w:leader="none"/>
        </w:tabs>
        <w:ind w:start="360" w:end="0"/>
        <w:rPr/>
      </w:pPr>
      <w:r>
        <w:rPr/>
      </w:r>
    </w:p>
    <w:p>
      <w:pPr>
        <w:pStyle w:val="Normal"/>
        <w:tabs>
          <w:tab w:val="clear" w:pos="720"/>
          <w:tab w:val="left" w:pos="0" w:leader="none"/>
        </w:tabs>
        <w:jc w:val="both"/>
        <w:rPr/>
      </w:pPr>
      <w:r>
        <w:rPr>
          <w:sz w:val="24"/>
        </w:rPr>
        <w:t xml:space="preserve">                                                  </w:t>
      </w:r>
      <w:r>
        <w:rPr>
          <w:sz w:val="24"/>
        </w:rPr>
      </w:r>
      <m:oMath xmlns:m="http://schemas.openxmlformats.org/officeDocument/2006/math">
        <m:r>
          <m:rPr>
            <m:lit/>
            <m:nor/>
          </m:rPr>
          <m:t xml:space="preserve">TE</m:t>
        </m:r>
        <m:r>
          <m:t xml:space="preserve">(</m:t>
        </m:r>
        <m:r>
          <m:t xml:space="preserve">c</m:t>
        </m:r>
        <m:r>
          <m:t xml:space="preserve">,</m:t>
        </m:r>
        <m:r>
          <m:t xml:space="preserve">t</m:t>
        </m:r>
        <m:r>
          <m:t xml:space="preserve">)</m:t>
        </m:r>
        <m:r>
          <m:t xml:space="preserve"> </m:t>
        </m:r>
        <m:r>
          <m:t xml:space="preserve">=</m:t>
        </m:r>
        <m:r>
          <m:t xml:space="preserve"> </m:t>
        </m:r>
        <m:r>
          <m:rPr>
            <m:lit/>
            <m:nor/>
          </m:rPr>
          <m:t xml:space="preserve">AE</m:t>
        </m:r>
        <m:r>
          <m:t xml:space="preserve">(</m:t>
        </m:r>
        <m:r>
          <m:t xml:space="preserve">c</m:t>
        </m:r>
        <m:r>
          <m:t xml:space="preserve">,</m:t>
        </m:r>
        <m:r>
          <m:t xml:space="preserve">t</m:t>
        </m:r>
        <m:r>
          <m:t xml:space="preserve">)</m:t>
        </m:r>
        <m:r>
          <m:t xml:space="preserve">]</m:t>
        </m:r>
        <m:r>
          <m:t xml:space="preserve"> </m:t>
        </m:r>
        <m:r>
          <m:t xml:space="preserve">+</m:t>
        </m:r>
        <m:r>
          <m:t xml:space="preserve"> </m:t>
        </m:r>
        <m:r>
          <m:rPr>
            <m:lit/>
            <m:nor/>
          </m:rPr>
          <m:t xml:space="preserve">PE</m:t>
        </m:r>
        <m:r>
          <m:t xml:space="preserve">(</m:t>
        </m:r>
        <m:r>
          <m:t xml:space="preserve">c</m:t>
        </m:r>
        <m:r>
          <m:t xml:space="preserve">,</m:t>
        </m:r>
        <m:r>
          <m:t xml:space="preserve">t</m:t>
        </m:r>
        <m:r>
          <m:t xml:space="preserve">)</m:t>
        </m:r>
      </m:oMath>
      <w:r>
        <w:rPr>
          <w:sz w:val="24"/>
        </w:rPr>
        <w:t xml:space="preserve">       </w:t>
      </w:r>
      <w:r>
        <w:rPr>
          <w:sz w:val="24"/>
        </w:rPr>
        <w:tab/>
        <w:t xml:space="preserve">                   (3)</w:t>
        <w:tab/>
        <w:tab/>
        <w:t xml:space="preserve"> </w:t>
      </w:r>
    </w:p>
    <w:p>
      <w:pPr>
        <w:pStyle w:val="Normal"/>
        <w:tabs>
          <w:tab w:val="clear" w:pos="720"/>
          <w:tab w:val="left" w:pos="0" w:leader="none"/>
        </w:tabs>
        <w:jc w:val="both"/>
        <w:rPr>
          <w:sz w:val="24"/>
        </w:rPr>
      </w:pPr>
      <w:r>
        <w:rPr>
          <w:sz w:val="24"/>
        </w:rPr>
        <w:t>As an example, consider a situation where ENE buys a commodity swap, where the current MTM is negative.  In this case, the contract’s Actual Exposure is zero.  However, if commodity prices rise in the future, the contract can have positive value.  Although the contract carries no current exposures, it carries potential exposures that presents credit risk to ENE.</w:t>
      </w:r>
    </w:p>
    <w:p>
      <w:pPr>
        <w:pStyle w:val="Normal"/>
        <w:tabs>
          <w:tab w:val="clear" w:pos="720"/>
          <w:tab w:val="left" w:pos="0" w:leader="none"/>
        </w:tabs>
        <w:jc w:val="both"/>
        <w:rPr>
          <w:sz w:val="24"/>
        </w:rPr>
      </w:pPr>
      <w:r>
        <w:rPr>
          <w:sz w:val="24"/>
        </w:rPr>
      </w:r>
    </w:p>
    <w:p>
      <w:pPr>
        <w:pStyle w:val="Normal"/>
        <w:numPr>
          <w:ilvl w:val="0"/>
          <w:numId w:val="12"/>
        </w:numPr>
        <w:tabs>
          <w:tab w:val="clear" w:pos="720"/>
          <w:tab w:val="left" w:pos="0" w:leader="none"/>
        </w:tabs>
        <w:jc w:val="both"/>
        <w:rPr>
          <w:sz w:val="24"/>
        </w:rPr>
      </w:pPr>
      <w:r>
        <w:rPr>
          <w:sz w:val="24"/>
        </w:rPr>
        <w:t xml:space="preserve">At the counterparty level, credit exposure depends on the </w:t>
      </w:r>
      <w:r>
        <w:rPr>
          <w:b/>
          <w:sz w:val="24"/>
          <w:u w:val="single"/>
        </w:rPr>
        <w:t>netting agreements / credit migration provisions</w:t>
      </w:r>
      <w:r>
        <w:rPr>
          <w:sz w:val="24"/>
        </w:rPr>
        <w:t>.  If full netting is allowed, contracts with positive values can be offset with negative values to reduce the net exposure.  In this case, the actual exposure to the counterparty P at time t is given by</w:t>
      </w:r>
    </w:p>
    <w:p>
      <w:pPr>
        <w:pStyle w:val="Normal"/>
        <w:tabs>
          <w:tab w:val="clear" w:pos="720"/>
          <w:tab w:val="left" w:pos="0" w:leader="none"/>
        </w:tabs>
        <w:jc w:val="both"/>
        <w:rPr>
          <w:sz w:val="24"/>
        </w:rPr>
      </w:pPr>
      <w:r>
        <w:rPr>
          <w:sz w:val="24"/>
        </w:rPr>
      </w:r>
    </w:p>
    <w:p>
      <w:pPr>
        <w:pStyle w:val="Normal"/>
        <w:ind w:start="2160" w:end="0"/>
        <w:jc w:val="both"/>
        <w:rPr/>
      </w:pPr>
      <w:r>
        <w:rPr/>
      </w:r>
      <m:oMath xmlns:m="http://schemas.openxmlformats.org/officeDocument/2006/math">
        <m:r>
          <m:rPr>
            <m:lit/>
            <m:nor/>
          </m:rPr>
          <m:t xml:space="preserve">AE</m:t>
        </m:r>
        <m:r>
          <m:t xml:space="preserve">(</m:t>
        </m:r>
        <m:r>
          <m:t xml:space="preserve">P</m:t>
        </m:r>
        <m:r>
          <m:t xml:space="preserve">,</m:t>
        </m:r>
        <m:r>
          <m:t xml:space="preserve">t</m:t>
        </m:r>
        <m:r>
          <m:t xml:space="preserve">)</m:t>
        </m:r>
        <m:r>
          <m:t xml:space="preserve"> </m:t>
        </m:r>
        <m:r>
          <m:t xml:space="preserve">=</m:t>
        </m:r>
        <m:r>
          <m:t xml:space="preserve"> </m:t>
        </m:r>
        <m:r>
          <m:rPr>
            <m:lit/>
            <m:nor/>
          </m:rPr>
          <m:t xml:space="preserve">Max</m:t>
        </m:r>
        <m:d>
          <m:dPr>
            <m:begChr m:val="{"/>
            <m:endChr m:val="}"/>
          </m:dPr>
          <m:e>
            <m:r>
              <m:t xml:space="preserve">0</m:t>
            </m:r>
            <m:r>
              <m:t xml:space="preserve">,</m:t>
            </m:r>
            <m:r>
              <m:t xml:space="preserve"> </m:t>
            </m:r>
            <m:nary>
              <m:naryPr>
                <m:chr m:val="∑"/>
                <m:supHide m:val="1"/>
              </m:naryPr>
              <m:sub>
                <m:r>
                  <m:t xml:space="preserve">c</m:t>
                </m:r>
                <m:r>
                  <m:t xml:space="preserve">∈</m:t>
                </m:r>
                <m:r>
                  <m:t xml:space="preserve">P</m:t>
                </m:r>
              </m:sub>
              <m:sup/>
              <m:e>
                <m:r>
                  <m:t xml:space="preserve">V</m:t>
                </m:r>
                <m:r>
                  <m:t xml:space="preserve">(</m:t>
                </m:r>
                <m:r>
                  <m:t xml:space="preserve">c</m:t>
                </m:r>
                <m:r>
                  <m:t xml:space="preserve">,</m:t>
                </m:r>
                <m:r>
                  <m:t xml:space="preserve">t</m:t>
                </m:r>
                <m:r>
                  <m:t xml:space="preserve">)</m:t>
                </m:r>
              </m:e>
            </m:nary>
          </m:e>
        </m:d>
        <m:r>
          <m:t xml:space="preserve"> </m:t>
        </m:r>
        <m:r>
          <m:t xml:space="preserve">=</m:t>
        </m:r>
        <m:r>
          <m:t xml:space="preserve"> </m:t>
        </m:r>
        <m:r>
          <m:rPr>
            <m:lit/>
            <m:nor/>
          </m:rPr>
          <m:t xml:space="preserve">Max</m:t>
        </m:r>
        <m:d>
          <m:dPr>
            <m:begChr m:val="{"/>
            <m:endChr m:val="}"/>
          </m:dPr>
          <m:e>
            <m:r>
              <m:t xml:space="preserve">0</m:t>
            </m:r>
            <m:r>
              <m:t xml:space="preserve">,</m:t>
            </m:r>
            <m:r>
              <m:t xml:space="preserve">V</m:t>
            </m:r>
            <m:r>
              <m:t xml:space="preserve">(</m:t>
            </m:r>
            <m:r>
              <m:t xml:space="preserve">P</m:t>
            </m:r>
            <m:r>
              <m:t xml:space="preserve">,</m:t>
            </m:r>
            <m:r>
              <m:t xml:space="preserve">t</m:t>
            </m:r>
            <m:r>
              <m:t xml:space="preserve">)</m:t>
            </m:r>
          </m:e>
        </m:d>
      </m:oMath>
      <w:r>
        <w:rPr/>
        <w:tab/>
        <w:t xml:space="preserve">         (4)</w:t>
      </w:r>
    </w:p>
    <w:p>
      <w:pPr>
        <w:pStyle w:val="Normal"/>
        <w:jc w:val="both"/>
        <w:rPr>
          <w:sz w:val="24"/>
        </w:rPr>
      </w:pPr>
      <w:r>
        <w:rPr>
          <w:sz w:val="24"/>
        </w:rPr>
      </w:r>
    </w:p>
    <w:p>
      <w:pPr>
        <w:pStyle w:val="BodyText"/>
        <w:tabs>
          <w:tab w:val="clear" w:pos="0"/>
        </w:tabs>
        <w:rPr/>
      </w:pPr>
      <w:r>
        <w:rPr/>
        <w:t>The potential Exposure to a counterparty under an assumed simulation (market condition) is the maximum additional exposure at some future time.  It can be obtained by substituting V(P,t) in place of V(c,t) in Equation (2).  The Total Exposure is the sum of the counterparty’s Actual Exposure and Potential Exposure.</w:t>
      </w:r>
    </w:p>
    <w:p>
      <w:pPr>
        <w:pStyle w:val="Normal"/>
        <w:jc w:val="both"/>
        <w:rPr>
          <w:sz w:val="24"/>
        </w:rPr>
      </w:pPr>
      <w:r>
        <w:rPr>
          <w:sz w:val="24"/>
        </w:rPr>
      </w:r>
    </w:p>
    <w:p>
      <w:pPr>
        <w:pStyle w:val="Normal"/>
        <w:numPr>
          <w:ilvl w:val="0"/>
          <w:numId w:val="18"/>
        </w:numPr>
        <w:jc w:val="both"/>
        <w:rPr>
          <w:sz w:val="24"/>
        </w:rPr>
      </w:pPr>
      <w:r>
        <w:rPr>
          <w:sz w:val="24"/>
        </w:rPr>
        <w:t xml:space="preserve">If </w:t>
      </w:r>
      <w:r>
        <w:rPr>
          <w:b/>
          <w:sz w:val="24"/>
        </w:rPr>
        <w:t xml:space="preserve">netting is not allowed, </w:t>
      </w:r>
      <w:r>
        <w:rPr>
          <w:sz w:val="24"/>
        </w:rPr>
        <w:t>the Actual Exposure to a counterparty is simply the sum of the positive-value contracts with the counterparty.  In other words,</w:t>
      </w:r>
    </w:p>
    <w:p>
      <w:pPr>
        <w:pStyle w:val="Normal"/>
        <w:jc w:val="both"/>
        <w:rPr>
          <w:sz w:val="24"/>
        </w:rPr>
      </w:pPr>
      <w:r>
        <w:rPr>
          <w:sz w:val="24"/>
        </w:rPr>
        <w:t xml:space="preserve"> </w:t>
      </w:r>
      <w:r>
        <w:rPr>
          <w:sz w:val="24"/>
        </w:rPr>
        <w:tab/>
        <w:tab/>
      </w:r>
    </w:p>
    <w:p>
      <w:pPr>
        <w:pStyle w:val="Normal"/>
        <w:ind w:firstLine="720" w:start="1440" w:end="0"/>
        <w:jc w:val="both"/>
        <w:rPr/>
      </w:pPr>
      <w:r>
        <w:rPr/>
      </w:r>
      <m:oMath xmlns:m="http://schemas.openxmlformats.org/officeDocument/2006/math">
        <m:r>
          <m:rPr>
            <m:lit/>
            <m:nor/>
          </m:rPr>
          <m:t xml:space="preserve">AE</m:t>
        </m:r>
        <m:r>
          <m:t xml:space="preserve">(</m:t>
        </m:r>
        <m:r>
          <m:t xml:space="preserve">P</m:t>
        </m:r>
        <m:r>
          <m:t xml:space="preserve">,</m:t>
        </m:r>
        <m:r>
          <m:t xml:space="preserve">t</m:t>
        </m:r>
        <m:r>
          <m:t xml:space="preserve">)</m:t>
        </m:r>
        <m:r>
          <m:t xml:space="preserve"> </m:t>
        </m:r>
        <m:r>
          <m:t xml:space="preserve">=</m:t>
        </m:r>
        <m:r>
          <m:t xml:space="preserve"> </m:t>
        </m:r>
        <m:nary>
          <m:naryPr>
            <m:chr m:val="∑"/>
            <m:supHide m:val="1"/>
          </m:naryPr>
          <m:sub>
            <m:r>
              <m:t xml:space="preserve">c</m:t>
            </m:r>
            <m:r>
              <m:t xml:space="preserve">∈</m:t>
            </m:r>
            <m:r>
              <m:t xml:space="preserve">P</m:t>
            </m:r>
          </m:sub>
          <m:sup/>
          <m:e>
            <m:r>
              <m:rPr>
                <m:lit/>
                <m:nor/>
              </m:rPr>
              <m:t xml:space="preserve">Max</m:t>
            </m:r>
            <m:d>
              <m:dPr>
                <m:begChr m:val="{"/>
                <m:endChr m:val="}"/>
              </m:dPr>
              <m:e>
                <m:r>
                  <m:t xml:space="preserve">0</m:t>
                </m:r>
                <m:r>
                  <m:t xml:space="preserve">,</m:t>
                </m:r>
                <m:r>
                  <m:t xml:space="preserve">V</m:t>
                </m:r>
                <m:r>
                  <m:t xml:space="preserve">(</m:t>
                </m:r>
                <m:r>
                  <m:t xml:space="preserve">c</m:t>
                </m:r>
                <m:r>
                  <m:t xml:space="preserve">,</m:t>
                </m:r>
                <m:r>
                  <m:t xml:space="preserve">t</m:t>
                </m:r>
                <m:r>
                  <m:t xml:space="preserve">)</m:t>
                </m:r>
              </m:e>
              <m:e/>
            </m:d>
            <m:r>
              <m:t xml:space="preserve"> </m:t>
            </m:r>
            <m:r>
              <m:t xml:space="preserve">=</m:t>
            </m:r>
            <m:r>
              <m:t xml:space="preserve"> </m:t>
            </m:r>
            <m:nary>
              <m:naryPr>
                <m:chr m:val="∑"/>
                <m:supHide m:val="1"/>
              </m:naryPr>
              <m:sub>
                <m:r>
                  <m:t xml:space="preserve">c</m:t>
                </m:r>
                <m:r>
                  <m:t xml:space="preserve">∈</m:t>
                </m:r>
                <m:r>
                  <m:t xml:space="preserve">P</m:t>
                </m:r>
              </m:sub>
              <m:sup/>
              <m:e>
                <m:r>
                  <m:rPr>
                    <m:lit/>
                    <m:nor/>
                  </m:rPr>
                  <m:t xml:space="preserve">AE</m:t>
                </m:r>
                <m:r>
                  <m:t xml:space="preserve">(</m:t>
                </m:r>
                <m:r>
                  <m:t xml:space="preserve">c</m:t>
                </m:r>
                <m:r>
                  <m:t xml:space="preserve">,</m:t>
                </m:r>
                <m:r>
                  <m:t xml:space="preserve">t</m:t>
                </m:r>
                <m:r>
                  <m:t xml:space="preserve">)</m:t>
                </m:r>
              </m:e>
            </m:nary>
          </m:e>
        </m:nary>
      </m:oMath>
      <w:r>
        <w:rPr/>
        <w:tab/>
        <w:tab/>
        <w:t xml:space="preserve">         (5)</w:t>
      </w:r>
    </w:p>
    <w:p>
      <w:pPr>
        <w:pStyle w:val="Normal"/>
        <w:jc w:val="both"/>
        <w:rPr>
          <w:sz w:val="24"/>
        </w:rPr>
      </w:pPr>
      <w:r>
        <w:rPr>
          <w:sz w:val="24"/>
        </w:rPr>
      </w:r>
    </w:p>
    <w:p>
      <w:pPr>
        <w:pStyle w:val="Normal"/>
        <w:numPr>
          <w:ilvl w:val="0"/>
          <w:numId w:val="14"/>
        </w:numPr>
        <w:jc w:val="both"/>
        <w:rPr>
          <w:sz w:val="24"/>
        </w:rPr>
      </w:pPr>
      <w:r>
        <w:rPr>
          <w:sz w:val="24"/>
        </w:rPr>
        <w:t xml:space="preserve">The Potential Exposure in this deal is then conservatively defined as </w:t>
      </w:r>
    </w:p>
    <w:p>
      <w:pPr>
        <w:pStyle w:val="Normal"/>
        <w:jc w:val="both"/>
        <w:rPr>
          <w:sz w:val="24"/>
        </w:rPr>
      </w:pPr>
      <w:r>
        <w:rPr>
          <w:sz w:val="24"/>
        </w:rPr>
      </w:r>
    </w:p>
    <w:p>
      <w:pPr>
        <w:pStyle w:val="Normal"/>
        <w:ind w:firstLine="720" w:start="1440" w:end="0"/>
        <w:jc w:val="both"/>
        <w:rPr/>
      </w:pPr>
      <w:r>
        <w:rPr/>
      </w:r>
      <m:oMath xmlns:m="http://schemas.openxmlformats.org/officeDocument/2006/math">
        <m:r>
          <m:rPr>
            <m:lit/>
            <m:nor/>
          </m:rPr>
          <m:t xml:space="preserve">PE</m:t>
        </m:r>
        <m:r>
          <m:t xml:space="preserve">(</m:t>
        </m:r>
        <m:r>
          <m:t xml:space="preserve">P</m:t>
        </m:r>
        <m:r>
          <m:t xml:space="preserve">,</m:t>
        </m:r>
        <m:r>
          <m:t xml:space="preserve">t</m:t>
        </m:r>
        <m:r>
          <m:t xml:space="preserve">)</m:t>
        </m:r>
        <m:r>
          <m:t xml:space="preserve"> </m:t>
        </m:r>
        <m:r>
          <m:t xml:space="preserve">=</m:t>
        </m:r>
        <m:r>
          <m:t xml:space="preserve"> </m:t>
        </m:r>
        <m:nary>
          <m:naryPr>
            <m:chr m:val="∑"/>
            <m:supHide m:val="1"/>
          </m:naryPr>
          <m:sub>
            <m:r>
              <m:t xml:space="preserve">c</m:t>
            </m:r>
            <m:r>
              <m:t xml:space="preserve">∈</m:t>
            </m:r>
            <m:r>
              <m:t xml:space="preserve">P</m:t>
            </m:r>
          </m:sub>
          <m:sup/>
          <m:e>
            <m:r>
              <m:rPr>
                <m:lit/>
                <m:nor/>
              </m:rPr>
              <m:t xml:space="preserve">PE</m:t>
            </m:r>
            <m:r>
              <m:t xml:space="preserve">(</m:t>
            </m:r>
            <m:r>
              <m:t xml:space="preserve">c</m:t>
            </m:r>
            <m:r>
              <m:t xml:space="preserve">,</m:t>
            </m:r>
            <m:r>
              <m:t xml:space="preserve">t</m:t>
            </m:r>
            <m:r>
              <m:t xml:space="preserve">)</m:t>
            </m:r>
          </m:e>
        </m:nary>
      </m:oMath>
      <w:r>
        <w:rPr/>
        <w:tab/>
        <w:tab/>
        <w:tab/>
        <w:tab/>
        <w:tab/>
        <w:t xml:space="preserve">         (6)</w:t>
      </w:r>
    </w:p>
    <w:p>
      <w:pPr>
        <w:pStyle w:val="Normal"/>
        <w:numPr>
          <w:ilvl w:val="0"/>
          <w:numId w:val="13"/>
        </w:numPr>
        <w:jc w:val="both"/>
        <w:rPr>
          <w:sz w:val="24"/>
        </w:rPr>
      </w:pPr>
      <w:r>
        <w:rPr>
          <w:sz w:val="24"/>
        </w:rPr>
        <w:t xml:space="preserve">Note, from Eq. 2, the Potential Exposure of a contract depends on the Maximum Value the contract takes during the life of the contract, and that </w:t>
      </w:r>
      <w:r>
        <w:rPr>
          <w:sz w:val="24"/>
          <w:u w:val="single"/>
        </w:rPr>
        <w:t>different contracts may reach their maximum values at different points in time</w:t>
      </w:r>
      <w:r>
        <w:rPr>
          <w:sz w:val="24"/>
        </w:rPr>
        <w:t>.  Hence, by defining the PE(P,t) as in Eq. (6), we allow the possibility that in the absence of netting agreements, the counterparty may cherrypick the timing of default for each default.  Finally, the Total Exposure to a counterparty in the absence of netting agreements is given by</w:t>
      </w:r>
    </w:p>
    <w:p>
      <w:pPr>
        <w:pStyle w:val="Normal"/>
        <w:jc w:val="both"/>
        <w:rPr>
          <w:sz w:val="24"/>
        </w:rPr>
      </w:pPr>
      <w:r>
        <w:rPr>
          <w:sz w:val="24"/>
        </w:rPr>
      </w:r>
    </w:p>
    <w:p>
      <w:pPr>
        <w:pStyle w:val="Normal"/>
        <w:ind w:start="2160" w:end="0"/>
        <w:jc w:val="both"/>
        <w:rPr/>
      </w:pPr>
      <w:r>
        <w:rPr/>
      </w:r>
      <m:oMath xmlns:m="http://schemas.openxmlformats.org/officeDocument/2006/math">
        <m:r>
          <m:rPr>
            <m:lit/>
            <m:nor/>
          </m:rPr>
          <m:t xml:space="preserve">TE</m:t>
        </m:r>
        <m:r>
          <m:t xml:space="preserve">(</m:t>
        </m:r>
        <m:r>
          <m:t xml:space="preserve">P</m:t>
        </m:r>
        <m:r>
          <m:t xml:space="preserve">,</m:t>
        </m:r>
        <m:r>
          <m:t xml:space="preserve">t</m:t>
        </m:r>
        <m:r>
          <m:t xml:space="preserve">)</m:t>
        </m:r>
        <m:r>
          <m:t xml:space="preserve"> </m:t>
        </m:r>
        <m:r>
          <m:t xml:space="preserve">=</m:t>
        </m:r>
        <m:r>
          <m:t xml:space="preserve"> </m:t>
        </m:r>
        <m:nary>
          <m:naryPr>
            <m:chr m:val="∑"/>
            <m:supHide m:val="1"/>
          </m:naryPr>
          <m:sub>
            <m:r>
              <m:t xml:space="preserve">c</m:t>
            </m:r>
            <m:r>
              <m:t xml:space="preserve">∈</m:t>
            </m:r>
            <m:r>
              <m:t xml:space="preserve">P</m:t>
            </m:r>
          </m:sub>
          <m:sup/>
          <m:e>
            <m:r>
              <m:rPr>
                <m:lit/>
                <m:nor/>
              </m:rPr>
              <m:t xml:space="preserve">AE</m:t>
            </m:r>
            <m:r>
              <m:t xml:space="preserve">(</m:t>
            </m:r>
            <m:r>
              <m:t xml:space="preserve">c</m:t>
            </m:r>
            <m:r>
              <m:t xml:space="preserve">,</m:t>
            </m:r>
            <m:r>
              <m:t xml:space="preserve">t</m:t>
            </m:r>
            <m:r>
              <m:t xml:space="preserve">)</m:t>
            </m:r>
          </m:e>
        </m:nary>
        <m:r>
          <m:t xml:space="preserve"> </m:t>
        </m:r>
        <m:r>
          <m:t xml:space="preserve">+</m:t>
        </m:r>
        <m:r>
          <m:t xml:space="preserve"> </m:t>
        </m:r>
        <m:nary>
          <m:naryPr>
            <m:chr m:val="∑"/>
            <m:supHide m:val="1"/>
          </m:naryPr>
          <m:sub>
            <m:r>
              <m:t xml:space="preserve">c</m:t>
            </m:r>
            <m:r>
              <m:t xml:space="preserve">∈</m:t>
            </m:r>
            <m:r>
              <m:t xml:space="preserve">P</m:t>
            </m:r>
          </m:sub>
          <m:sup/>
          <m:e>
            <m:r>
              <m:rPr>
                <m:lit/>
                <m:nor/>
              </m:rPr>
              <m:t xml:space="preserve">PE</m:t>
            </m:r>
            <m:r>
              <m:t xml:space="preserve">(</m:t>
            </m:r>
            <m:r>
              <m:t xml:space="preserve">c</m:t>
            </m:r>
            <m:r>
              <m:t xml:space="preserve">,</m:t>
            </m:r>
            <m:r>
              <m:t xml:space="preserve">t</m:t>
            </m:r>
            <m:r>
              <m:t xml:space="preserve">)</m:t>
            </m:r>
          </m:e>
        </m:nary>
        <m:r>
          <m:t xml:space="preserve"> </m:t>
        </m:r>
        <m:r>
          <m:t xml:space="preserve">=</m:t>
        </m:r>
        <m:r>
          <m:t xml:space="preserve"> </m:t>
        </m:r>
        <m:nary>
          <m:naryPr>
            <m:chr m:val="∑"/>
            <m:supHide m:val="1"/>
          </m:naryPr>
          <m:sub>
            <m:r>
              <m:t xml:space="preserve">c</m:t>
            </m:r>
            <m:r>
              <m:t xml:space="preserve">∈</m:t>
            </m:r>
            <m:r>
              <m:t xml:space="preserve">P</m:t>
            </m:r>
          </m:sub>
          <m:sup/>
          <m:e>
            <m:r>
              <m:rPr>
                <m:lit/>
                <m:nor/>
              </m:rPr>
              <m:t xml:space="preserve">TE</m:t>
            </m:r>
            <m:r>
              <m:t xml:space="preserve">(</m:t>
            </m:r>
            <m:r>
              <m:t xml:space="preserve">c</m:t>
            </m:r>
            <m:r>
              <m:t xml:space="preserve">,</m:t>
            </m:r>
            <m:r>
              <m:t xml:space="preserve">t</m:t>
            </m:r>
            <m:r>
              <m:t xml:space="preserve">)</m:t>
            </m:r>
          </m:e>
        </m:nary>
      </m:oMath>
      <w:r>
        <w:rPr/>
        <w:tab/>
        <w:t xml:space="preserve">         (7)</w:t>
      </w:r>
    </w:p>
    <w:p>
      <w:pPr>
        <w:pStyle w:val="Normal"/>
        <w:jc w:val="both"/>
        <w:rPr>
          <w:sz w:val="24"/>
        </w:rPr>
      </w:pPr>
      <w:r>
        <w:rPr>
          <w:sz w:val="24"/>
        </w:rPr>
      </w:r>
    </w:p>
    <w:p>
      <w:pPr>
        <w:pStyle w:val="Normal"/>
        <w:numPr>
          <w:ilvl w:val="0"/>
          <w:numId w:val="7"/>
        </w:numPr>
        <w:jc w:val="both"/>
        <w:rPr>
          <w:sz w:val="24"/>
        </w:rPr>
      </w:pPr>
      <w:r>
        <w:rPr>
          <w:sz w:val="24"/>
        </w:rPr>
        <w:t xml:space="preserve">Credit Losses: While Credit Exposures refer to the Maximum amount that will be lost if default happens, the credit losses take into account the amount that can be recovered after default occurs.  The credit loss on contract c, if default occurs at time </w:t>
      </w:r>
      <w:r>
        <w:rPr>
          <w:rFonts w:cs="Symbol" w:ascii="Symbol" w:hAnsi="Symbol"/>
          <w:sz w:val="24"/>
        </w:rPr>
        <w:sym w:font="Symbol" w:char="f074"/>
        <w:sym w:font="Symbol" w:char="f020"/>
      </w:r>
      <w:r>
        <w:rPr>
          <w:sz w:val="24"/>
        </w:rPr>
        <w:t>under some assumed market scenario is</w:t>
      </w:r>
    </w:p>
    <w:p>
      <w:pPr>
        <w:pStyle w:val="Normal"/>
        <w:ind w:start="1440" w:end="0"/>
        <w:jc w:val="both"/>
        <w:rPr>
          <w:sz w:val="24"/>
        </w:rPr>
      </w:pPr>
      <w:r>
        <w:rPr>
          <w:sz w:val="24"/>
        </w:rPr>
      </w:r>
    </w:p>
    <w:p>
      <w:pPr>
        <w:pStyle w:val="Normal"/>
        <w:ind w:start="2160" w:end="0"/>
        <w:jc w:val="both"/>
        <w:rPr/>
      </w:pPr>
      <w:r>
        <w:rPr>
          <w:sz w:val="24"/>
        </w:rPr>
      </w:r>
      <m:oMath xmlns:m="http://schemas.openxmlformats.org/officeDocument/2006/math">
        <m:r>
          <m:t xml:space="preserve">L</m:t>
        </m:r>
        <m:r>
          <m:t xml:space="preserve">(</m:t>
        </m:r>
        <m:r>
          <m:t xml:space="preserve">c</m:t>
        </m:r>
        <m:r>
          <m:t xml:space="preserve">,</m:t>
        </m:r>
        <m:r>
          <m:t xml:space="preserve">τ</m:t>
        </m:r>
        <m:r>
          <m:t xml:space="preserve">)</m:t>
        </m:r>
        <m:r>
          <m:t xml:space="preserve"> </m:t>
        </m:r>
        <m:r>
          <m:t xml:space="preserve">=</m:t>
        </m:r>
        <m:r>
          <m:t xml:space="preserve"> </m:t>
        </m:r>
        <m:r>
          <m:rPr>
            <m:lit/>
            <m:nor/>
          </m:rPr>
          <m:t xml:space="preserve">AE</m:t>
        </m:r>
        <m:r>
          <m:t xml:space="preserve">(</m:t>
        </m:r>
        <m:r>
          <m:t xml:space="preserve">c</m:t>
        </m:r>
        <m:r>
          <m:t xml:space="preserve">,</m:t>
        </m:r>
        <m:r>
          <m:t xml:space="preserve">τ</m:t>
        </m:r>
        <m:r>
          <m:t xml:space="preserve">)</m:t>
        </m:r>
        <m:r>
          <m:t xml:space="preserve">[</m:t>
        </m:r>
        <m:r>
          <m:t xml:space="preserve">1</m:t>
        </m:r>
        <m:r>
          <m:t xml:space="preserve">−</m:t>
        </m:r>
        <m:r>
          <m:t xml:space="preserve">R</m:t>
        </m:r>
        <m:r>
          <m:t xml:space="preserve">(</m:t>
        </m:r>
        <m:r>
          <m:t xml:space="preserve">c</m:t>
        </m:r>
        <m:r>
          <m:t xml:space="preserve">,</m:t>
        </m:r>
        <m:r>
          <m:t xml:space="preserve">τ</m:t>
        </m:r>
        <m:r>
          <m:t xml:space="preserve">)</m:t>
        </m:r>
        <m:r>
          <m:t xml:space="preserve">]</m:t>
        </m:r>
      </m:oMath>
      <w:r>
        <w:rPr>
          <w:sz w:val="24"/>
        </w:rPr>
        <w:tab/>
        <w:tab/>
        <w:tab/>
        <w:tab/>
        <w:t xml:space="preserve">       (8)</w:t>
      </w:r>
    </w:p>
    <w:p>
      <w:pPr>
        <w:pStyle w:val="Normal"/>
        <w:jc w:val="both"/>
        <w:rPr>
          <w:sz w:val="24"/>
        </w:rPr>
      </w:pPr>
      <w:r>
        <w:rPr>
          <w:sz w:val="24"/>
        </w:rPr>
      </w:r>
    </w:p>
    <w:p>
      <w:pPr>
        <w:pStyle w:val="Normal"/>
        <w:jc w:val="both"/>
        <w:rPr/>
      </w:pPr>
      <w:r>
        <w:rPr>
          <w:sz w:val="24"/>
        </w:rPr>
        <w:t xml:space="preserve"> </w:t>
      </w:r>
      <w:r>
        <w:rPr>
          <w:sz w:val="24"/>
        </w:rPr>
        <w:t xml:space="preserve">where R is the recovery percentage.  Ultimately R depends on the seniority of the contract.  If netting is allowed, counterparty credit losses are a function of Actual Exposure.  The credit loss on a counterparty portfolio if default happens at time </w:t>
      </w:r>
      <w:r>
        <w:rPr>
          <w:rFonts w:cs="Symbol" w:ascii="Symbol" w:hAnsi="Symbol"/>
          <w:sz w:val="24"/>
        </w:rPr>
        <w:sym w:font="Symbol" w:char="f074"/>
        <w:sym w:font="Symbol" w:char="f020"/>
      </w:r>
      <w:r>
        <w:rPr>
          <w:sz w:val="24"/>
        </w:rPr>
        <w:t>is given by</w:t>
      </w:r>
    </w:p>
    <w:p>
      <w:pPr>
        <w:pStyle w:val="Normal"/>
        <w:jc w:val="both"/>
        <w:rPr/>
      </w:pPr>
      <w:r>
        <w:rPr>
          <w:sz w:val="24"/>
        </w:rPr>
        <w:tab/>
        <w:tab/>
        <w:tab/>
      </w:r>
      <w:r>
        <w:rPr>
          <w:sz w:val="24"/>
        </w:rPr>
      </w:r>
      <m:oMath xmlns:m="http://schemas.openxmlformats.org/officeDocument/2006/math">
        <m:r>
          <m:t xml:space="preserve">L</m:t>
        </m:r>
        <m:r>
          <m:t xml:space="preserve">(</m:t>
        </m:r>
        <m:r>
          <m:t xml:space="preserve">P</m:t>
        </m:r>
        <m:r>
          <m:t xml:space="preserve">,</m:t>
        </m:r>
        <m:r>
          <m:t xml:space="preserve">τ</m:t>
        </m:r>
        <m:r>
          <m:t xml:space="preserve">)</m:t>
        </m:r>
        <m:r>
          <m:t xml:space="preserve"> </m:t>
        </m:r>
        <m:r>
          <m:t xml:space="preserve">=</m:t>
        </m:r>
        <m:r>
          <m:t xml:space="preserve"> </m:t>
        </m:r>
        <m:r>
          <m:rPr>
            <m:lit/>
            <m:nor/>
          </m:rPr>
          <m:t xml:space="preserve">AE</m:t>
        </m:r>
        <m:r>
          <m:t xml:space="preserve">(</m:t>
        </m:r>
        <m:r>
          <m:t xml:space="preserve">P</m:t>
        </m:r>
        <m:r>
          <m:t xml:space="preserve">,</m:t>
        </m:r>
        <m:r>
          <m:t xml:space="preserve">τ</m:t>
        </m:r>
        <m:r>
          <m:t xml:space="preserve">)</m:t>
        </m:r>
        <m:r>
          <m:t xml:space="preserve">[</m:t>
        </m:r>
        <m:r>
          <m:t xml:space="preserve">1</m:t>
        </m:r>
        <m:r>
          <m:t xml:space="preserve">−</m:t>
        </m:r>
        <m:r>
          <m:t xml:space="preserve">R</m:t>
        </m:r>
        <m:r>
          <m:t xml:space="preserve">(</m:t>
        </m:r>
        <m:r>
          <m:t xml:space="preserve">P</m:t>
        </m:r>
        <m:r>
          <m:t xml:space="preserve">,</m:t>
        </m:r>
        <m:r>
          <m:t xml:space="preserve">τ</m:t>
        </m:r>
        <m:r>
          <m:t xml:space="preserve">)</m:t>
        </m:r>
        <m:r>
          <m:t xml:space="preserve">]</m:t>
        </m:r>
      </m:oMath>
      <w:r>
        <w:rPr>
          <w:sz w:val="24"/>
        </w:rPr>
        <w:tab/>
        <w:tab/>
        <w:tab/>
        <w:tab/>
        <w:t xml:space="preserve">       (9)</w:t>
      </w:r>
    </w:p>
    <w:p>
      <w:pPr>
        <w:pStyle w:val="Normal"/>
        <w:jc w:val="both"/>
        <w:rPr>
          <w:sz w:val="24"/>
        </w:rPr>
      </w:pPr>
      <w:r>
        <w:rPr>
          <w:sz w:val="24"/>
        </w:rPr>
        <w:t>When netting is allowed a single R applied to all transactions.</w:t>
      </w:r>
    </w:p>
    <w:p>
      <w:pPr>
        <w:pStyle w:val="Normal"/>
        <w:jc w:val="both"/>
        <w:rPr>
          <w:sz w:val="24"/>
        </w:rPr>
      </w:pPr>
      <w:r>
        <w:rPr>
          <w:sz w:val="24"/>
        </w:rPr>
      </w:r>
    </w:p>
    <w:p>
      <w:pPr>
        <w:pStyle w:val="Normal"/>
        <w:numPr>
          <w:ilvl w:val="0"/>
          <w:numId w:val="19"/>
        </w:numPr>
        <w:jc w:val="both"/>
        <w:rPr>
          <w:sz w:val="24"/>
        </w:rPr>
      </w:pPr>
      <w:r>
        <w:rPr>
          <w:sz w:val="24"/>
        </w:rPr>
        <w:t xml:space="preserve">Credit loss when netting is not allowed:  If default happens at time </w:t>
      </w:r>
      <w:r>
        <w:rPr>
          <w:rFonts w:cs="Symbol" w:ascii="Symbol" w:hAnsi="Symbol"/>
          <w:sz w:val="24"/>
        </w:rPr>
        <w:sym w:font="Symbol" w:char="f074"/>
        <w:sym w:font="Symbol" w:char="f020"/>
        <w:sym w:font="Symbol" w:char="f02c"/>
        <w:sym w:font="Symbol" w:char="f020"/>
      </w:r>
      <w:r>
        <w:rPr>
          <w:sz w:val="24"/>
        </w:rPr>
        <w:t xml:space="preserve">the counterparty credit loss are conservatively defined as </w:t>
      </w:r>
    </w:p>
    <w:p>
      <w:pPr>
        <w:pStyle w:val="Normal"/>
        <w:jc w:val="both"/>
        <w:rPr>
          <w:sz w:val="24"/>
        </w:rPr>
      </w:pPr>
      <w:r>
        <w:rPr>
          <w:sz w:val="24"/>
        </w:rPr>
      </w:r>
    </w:p>
    <w:p>
      <w:pPr>
        <w:pStyle w:val="Normal"/>
        <w:jc w:val="both"/>
        <w:rPr/>
      </w:pPr>
      <w:r>
        <w:rPr>
          <w:sz w:val="24"/>
        </w:rPr>
        <w:t xml:space="preserve">                                      </w:t>
      </w:r>
      <w:r>
        <w:rPr>
          <w:sz w:val="24"/>
        </w:rPr>
      </w:r>
      <m:oMath xmlns:m="http://schemas.openxmlformats.org/officeDocument/2006/math">
        <m:r>
          <m:t xml:space="preserve">L</m:t>
        </m:r>
        <m:r>
          <m:t xml:space="preserve">(</m:t>
        </m:r>
        <m:r>
          <m:t xml:space="preserve">P</m:t>
        </m:r>
        <m:r>
          <m:t xml:space="preserve">,</m:t>
        </m:r>
        <m:r>
          <m:t xml:space="preserve">τ</m:t>
        </m:r>
        <m:r>
          <m:t xml:space="preserve">)</m:t>
        </m:r>
        <m:r>
          <m:t xml:space="preserve"> </m:t>
        </m:r>
        <m:r>
          <m:t xml:space="preserve">=</m:t>
        </m:r>
        <m:r>
          <m:t xml:space="preserve"> </m:t>
        </m:r>
        <m:nary>
          <m:naryPr>
            <m:chr m:val="∑"/>
            <m:supHide m:val="1"/>
          </m:naryPr>
          <m:sub>
            <m:r>
              <m:t xml:space="preserve">c</m:t>
            </m:r>
            <m:r>
              <m:t xml:space="preserve">∈</m:t>
            </m:r>
            <m:r>
              <m:t xml:space="preserve">P</m:t>
            </m:r>
          </m:sub>
          <m:sup/>
          <m:e>
            <m:r>
              <m:t xml:space="preserve">L</m:t>
            </m:r>
            <m:r>
              <m:t xml:space="preserve">(</m:t>
            </m:r>
            <m:r>
              <m:t xml:space="preserve">c</m:t>
            </m:r>
            <m:r>
              <m:t xml:space="preserve">,</m:t>
            </m:r>
            <m:r>
              <m:t xml:space="preserve">τ</m:t>
            </m:r>
            <m:r>
              <m:t xml:space="preserve">)</m:t>
            </m:r>
            <m:r>
              <m:t xml:space="preserve"> </m:t>
            </m:r>
            <m:r>
              <m:t xml:space="preserve">=</m:t>
            </m:r>
            <m:r>
              <m:t xml:space="preserve"> </m:t>
            </m:r>
            <m:nary>
              <m:naryPr>
                <m:chr m:val="∑"/>
                <m:supHide m:val="1"/>
              </m:naryPr>
              <m:sub>
                <m:r>
                  <m:t xml:space="preserve">c</m:t>
                </m:r>
                <m:r>
                  <m:t xml:space="preserve">∈</m:t>
                </m:r>
                <m:r>
                  <m:t xml:space="preserve">P</m:t>
                </m:r>
              </m:sub>
              <m:sup/>
              <m:e/>
            </m:nary>
            <m:r>
              <m:rPr>
                <m:lit/>
                <m:nor/>
              </m:rPr>
              <m:t xml:space="preserve">TE</m:t>
            </m:r>
            <m:r>
              <m:t xml:space="preserve">(</m:t>
            </m:r>
            <m:r>
              <m:t xml:space="preserve">c</m:t>
            </m:r>
            <m:r>
              <m:t xml:space="preserve">,</m:t>
            </m:r>
            <m:r>
              <m:t xml:space="preserve">τ</m:t>
            </m:r>
            <m:r>
              <m:t xml:space="preserve">)</m:t>
            </m:r>
            <m:r>
              <m:t xml:space="preserve">[</m:t>
            </m:r>
            <m:r>
              <m:t xml:space="preserve">1</m:t>
            </m:r>
            <m:r>
              <m:t xml:space="preserve">−</m:t>
            </m:r>
            <m:r>
              <m:t xml:space="preserve">R</m:t>
            </m:r>
            <m:r>
              <m:t xml:space="preserve">(</m:t>
            </m:r>
            <m:r>
              <m:t xml:space="preserve">c</m:t>
            </m:r>
            <m:r>
              <m:t xml:space="preserve">,</m:t>
            </m:r>
            <m:r>
              <m:t xml:space="preserve">τ</m:t>
            </m:r>
            <m:r>
              <m:t xml:space="preserve">)</m:t>
            </m:r>
            <m:r>
              <m:t xml:space="preserve">]</m:t>
            </m:r>
          </m:e>
        </m:nary>
      </m:oMath>
      <w:r>
        <w:rPr>
          <w:sz w:val="24"/>
        </w:rPr>
        <w:tab/>
        <w:t xml:space="preserve">     (10)</w:t>
      </w:r>
    </w:p>
    <w:p>
      <w:pPr>
        <w:pStyle w:val="Normal"/>
        <w:jc w:val="both"/>
        <w:rPr>
          <w:sz w:val="24"/>
        </w:rPr>
      </w:pPr>
      <w:r>
        <w:rPr>
          <w:sz w:val="24"/>
        </w:rPr>
      </w:r>
    </w:p>
    <w:p>
      <w:pPr>
        <w:pStyle w:val="Normal"/>
        <w:jc w:val="both"/>
        <w:rPr/>
      </w:pPr>
      <w:r>
        <w:rPr>
          <w:sz w:val="24"/>
        </w:rPr>
        <w:t>The total exposure is used because, in the absence of a netting agreement, the institution cannot offset the exposure immediately after default occurs on the first contract.  Eq. (10) allows for the possibility that the counterparty may choose to default on the contracts when each of them reaches its maximum exposure.  In this case, it is possible to have contracts with different recovery rates.</w:t>
      </w:r>
    </w:p>
    <w:p>
      <w:pPr>
        <w:pStyle w:val="Normal"/>
        <w:jc w:val="both"/>
        <w:rPr>
          <w:sz w:val="24"/>
        </w:rPr>
      </w:pPr>
      <w:r>
        <w:rPr>
          <w:sz w:val="24"/>
        </w:rPr>
      </w:r>
    </w:p>
    <w:p>
      <w:pPr>
        <w:pStyle w:val="Normal"/>
        <w:numPr>
          <w:ilvl w:val="0"/>
          <w:numId w:val="6"/>
        </w:numPr>
        <w:jc w:val="both"/>
        <w:rPr>
          <w:sz w:val="24"/>
        </w:rPr>
      </w:pPr>
      <w:r>
        <w:rPr>
          <w:sz w:val="24"/>
        </w:rPr>
        <w:t xml:space="preserve">Other mitigation strategies: posting of collateral, MTM caps, and early termination clauses.  </w:t>
      </w:r>
    </w:p>
    <w:p>
      <w:pPr>
        <w:pStyle w:val="Normal"/>
        <w:jc w:val="both"/>
        <w:rPr>
          <w:sz w:val="24"/>
        </w:rPr>
      </w:pPr>
      <w:r>
        <w:rPr>
          <w:sz w:val="24"/>
        </w:rPr>
      </w:r>
    </w:p>
    <w:p>
      <w:pPr>
        <w:pStyle w:val="Normal"/>
        <w:jc w:val="both"/>
        <w:rPr>
          <w:sz w:val="24"/>
        </w:rPr>
      </w:pPr>
      <w:r>
        <w:rPr>
          <w:sz w:val="24"/>
        </w:rPr>
      </w:r>
    </w:p>
    <w:p>
      <w:pPr>
        <w:pStyle w:val="Heading3"/>
        <w:ind w:hanging="0" w:start="0"/>
        <w:rPr>
          <w:b/>
          <w:u w:val="single"/>
        </w:rPr>
      </w:pPr>
      <w:r>
        <w:rPr>
          <w:b/>
          <w:u w:val="single"/>
        </w:rPr>
        <w:t xml:space="preserve">IV. Risk Metrics Implementation (Exposures and Losses): </w:t>
      </w:r>
    </w:p>
    <w:p>
      <w:pPr>
        <w:pStyle w:val="Normal"/>
        <w:jc w:val="both"/>
        <w:rPr>
          <w:b/>
          <w:sz w:val="24"/>
          <w:u w:val="single"/>
        </w:rPr>
      </w:pPr>
      <w:r>
        <w:rPr>
          <w:b/>
          <w:sz w:val="24"/>
          <w:u w:val="single"/>
        </w:rPr>
      </w:r>
    </w:p>
    <w:p>
      <w:pPr>
        <w:pStyle w:val="Normal"/>
        <w:numPr>
          <w:ilvl w:val="0"/>
          <w:numId w:val="10"/>
        </w:numPr>
        <w:jc w:val="both"/>
        <w:rPr>
          <w:sz w:val="24"/>
        </w:rPr>
      </w:pPr>
      <w:r>
        <w:rPr>
          <w:b/>
          <w:sz w:val="24"/>
        </w:rPr>
        <w:t>Actual Exposure</w:t>
      </w:r>
      <w:r>
        <w:rPr>
          <w:sz w:val="24"/>
        </w:rPr>
        <w:t>:  Include Net A/R over a 60 or 90-day billing cycle.</w:t>
      </w:r>
    </w:p>
    <w:p>
      <w:pPr>
        <w:pStyle w:val="Normal"/>
        <w:jc w:val="both"/>
        <w:rPr>
          <w:sz w:val="24"/>
        </w:rPr>
      </w:pPr>
      <w:r>
        <w:rPr>
          <w:sz w:val="24"/>
        </w:rPr>
      </w:r>
    </w:p>
    <w:p>
      <w:pPr>
        <w:pStyle w:val="Normal"/>
        <w:numPr>
          <w:ilvl w:val="0"/>
          <w:numId w:val="10"/>
        </w:numPr>
        <w:jc w:val="both"/>
        <w:rPr>
          <w:sz w:val="24"/>
        </w:rPr>
      </w:pPr>
      <w:r>
        <w:rPr>
          <w:b/>
          <w:sz w:val="24"/>
        </w:rPr>
        <w:t>Potential/Total Exposure:</w:t>
      </w:r>
      <w:r>
        <w:rPr>
          <w:sz w:val="24"/>
        </w:rPr>
        <w:t xml:space="preserve"> calculate for each counterparty based on above equations.</w:t>
      </w:r>
    </w:p>
    <w:p>
      <w:pPr>
        <w:pStyle w:val="Normal"/>
        <w:jc w:val="both"/>
        <w:rPr>
          <w:sz w:val="24"/>
        </w:rPr>
      </w:pPr>
      <w:r>
        <w:rPr>
          <w:sz w:val="24"/>
        </w:rPr>
      </w:r>
    </w:p>
    <w:p>
      <w:pPr>
        <w:pStyle w:val="Normal"/>
        <w:numPr>
          <w:ilvl w:val="0"/>
          <w:numId w:val="10"/>
        </w:numPr>
        <w:jc w:val="both"/>
        <w:rPr>
          <w:b/>
          <w:sz w:val="24"/>
          <w:u w:val="single"/>
        </w:rPr>
      </w:pPr>
      <w:r>
        <w:rPr>
          <w:b/>
          <w:sz w:val="24"/>
        </w:rPr>
        <w:t>Potential/Total Exposure as a function of time:</w:t>
      </w:r>
      <w:r>
        <w:rPr>
          <w:sz w:val="24"/>
        </w:rPr>
        <w:t xml:space="preserve"> Obtained by calculating the Potential/Total Exposure for t=0 (today),  t = 1 month, t = 2 months, t = 3 months, etc., until the end of the deal.</w:t>
      </w:r>
    </w:p>
    <w:p>
      <w:pPr>
        <w:pStyle w:val="Normal"/>
        <w:jc w:val="both"/>
        <w:rPr>
          <w:b/>
          <w:sz w:val="24"/>
          <w:u w:val="single"/>
        </w:rPr>
      </w:pPr>
      <w:r>
        <w:rPr>
          <w:b/>
          <w:sz w:val="24"/>
          <w:u w:val="single"/>
        </w:rPr>
      </w:r>
    </w:p>
    <w:p>
      <w:pPr>
        <w:pStyle w:val="Normal"/>
        <w:numPr>
          <w:ilvl w:val="0"/>
          <w:numId w:val="10"/>
        </w:numPr>
        <w:jc w:val="both"/>
        <w:rPr>
          <w:b/>
          <w:sz w:val="24"/>
        </w:rPr>
      </w:pPr>
      <w:r>
        <w:rPr>
          <w:b/>
          <w:sz w:val="24"/>
        </w:rPr>
        <w:t>Potential/Total Exposure by E-Rating.</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numPr>
          <w:ilvl w:val="0"/>
          <w:numId w:val="10"/>
        </w:numPr>
        <w:jc w:val="both"/>
        <w:rPr>
          <w:sz w:val="24"/>
        </w:rPr>
      </w:pPr>
      <w:r>
        <w:rPr>
          <w:b/>
          <w:sz w:val="24"/>
        </w:rPr>
        <w:t>Expected Total Exposure as of today (t=0):</w:t>
      </w:r>
      <w:r>
        <w:rPr>
          <w:b/>
          <w:sz w:val="24"/>
          <w:u w:val="single"/>
        </w:rPr>
        <w:t xml:space="preserve"> </w:t>
      </w:r>
      <w:r>
        <w:rPr>
          <w:sz w:val="24"/>
        </w:rPr>
        <w:t>Obtained by looking at Total exposures as of today and taking an average.</w:t>
      </w:r>
    </w:p>
    <w:p>
      <w:pPr>
        <w:pStyle w:val="Normal"/>
        <w:jc w:val="both"/>
        <w:rPr>
          <w:b/>
          <w:sz w:val="24"/>
          <w:u w:val="single"/>
        </w:rPr>
      </w:pPr>
      <w:r>
        <w:rPr>
          <w:b/>
          <w:sz w:val="24"/>
          <w:u w:val="single"/>
        </w:rPr>
      </w:r>
    </w:p>
    <w:p>
      <w:pPr>
        <w:pStyle w:val="Normal"/>
        <w:numPr>
          <w:ilvl w:val="0"/>
          <w:numId w:val="10"/>
        </w:numPr>
        <w:jc w:val="both"/>
        <w:rPr>
          <w:sz w:val="24"/>
        </w:rPr>
      </w:pPr>
      <w:r>
        <w:rPr>
          <w:b/>
          <w:sz w:val="24"/>
        </w:rPr>
        <w:t>Maximum Total Exposure (MTE-99%) as of today (99%) [useful in some EES transactions]:</w:t>
      </w:r>
      <w:r>
        <w:rPr>
          <w:sz w:val="24"/>
        </w:rPr>
        <w:t xml:space="preserve"> Rank the Total Exposures for all your simulations or scenarios and pick the one satisfying the following equation</w:t>
      </w:r>
    </w:p>
    <w:p>
      <w:pPr>
        <w:pStyle w:val="Normal"/>
        <w:jc w:val="both"/>
        <w:rPr>
          <w:sz w:val="24"/>
        </w:rPr>
      </w:pPr>
      <w:r>
        <w:rPr>
          <w:sz w:val="24"/>
        </w:rPr>
        <w:t xml:space="preserve">                                                        </w:t>
      </w:r>
      <w:r>
        <w:rPr>
          <w:sz w:val="24"/>
        </w:rPr>
        <w:t>Pr{TE(P,t) &lt; MTE-99%} = 99%</w:t>
      </w:r>
    </w:p>
    <w:p>
      <w:pPr>
        <w:pStyle w:val="Normal"/>
        <w:jc w:val="both"/>
        <w:rPr>
          <w:b/>
          <w:sz w:val="24"/>
          <w:u w:val="single"/>
        </w:rPr>
      </w:pPr>
      <w:r>
        <w:rPr>
          <w:b/>
          <w:sz w:val="24"/>
          <w:u w:val="single"/>
        </w:rPr>
      </w:r>
    </w:p>
    <w:p>
      <w:pPr>
        <w:pStyle w:val="Normal"/>
        <w:numPr>
          <w:ilvl w:val="0"/>
          <w:numId w:val="10"/>
        </w:numPr>
        <w:jc w:val="both"/>
        <w:rPr>
          <w:sz w:val="24"/>
        </w:rPr>
      </w:pPr>
      <w:r>
        <w:rPr>
          <w:b/>
          <w:sz w:val="24"/>
        </w:rPr>
        <w:t>Expected Loss (EL)</w:t>
      </w:r>
      <w:r>
        <w:rPr>
          <w:sz w:val="24"/>
        </w:rPr>
        <w:t xml:space="preserve"> (this is currently being calculated): Get a loss for each of the 1000 simulations (if default month is greater than the term of the deal, loss = 0).  The expected loss is obtained by taking the average over the simulations.</w:t>
      </w:r>
    </w:p>
    <w:p>
      <w:pPr>
        <w:pStyle w:val="Normal"/>
        <w:jc w:val="both"/>
        <w:rPr>
          <w:sz w:val="24"/>
        </w:rPr>
      </w:pPr>
      <w:r>
        <w:rPr>
          <w:sz w:val="24"/>
        </w:rPr>
      </w:r>
    </w:p>
    <w:p>
      <w:pPr>
        <w:pStyle w:val="Normal"/>
        <w:numPr>
          <w:ilvl w:val="0"/>
          <w:numId w:val="10"/>
        </w:numPr>
        <w:jc w:val="both"/>
        <w:rPr>
          <w:sz w:val="24"/>
        </w:rPr>
      </w:pPr>
      <w:r>
        <w:rPr>
          <w:b/>
          <w:sz w:val="24"/>
        </w:rPr>
        <w:t>Losses at various confidence levels (95, 99, 99.9)</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u w:val="single"/>
        </w:rPr>
      </w:pPr>
      <w:r>
        <w:rPr>
          <w:b/>
          <w:sz w:val="24"/>
          <w:u w:val="single"/>
        </w:rPr>
      </w:r>
    </w:p>
    <w:p>
      <w:pPr>
        <w:pStyle w:val="Normal"/>
        <w:jc w:val="both"/>
        <w:rPr/>
      </w:pPr>
      <w:r>
        <w:rPr>
          <w:b/>
          <w:sz w:val="24"/>
          <w:u w:val="single"/>
        </w:rPr>
        <w:t>V. Credit Reports:</w:t>
      </w:r>
      <w:r>
        <w:rPr>
          <w:sz w:val="24"/>
        </w:rPr>
        <w:t xml:space="preserve"> </w:t>
      </w:r>
    </w:p>
    <w:p>
      <w:pPr>
        <w:pStyle w:val="Normal"/>
        <w:jc w:val="both"/>
        <w:rPr>
          <w:sz w:val="24"/>
        </w:rPr>
      </w:pPr>
      <w:r>
        <w:rPr>
          <w:sz w:val="24"/>
        </w:rPr>
      </w:r>
    </w:p>
    <w:p>
      <w:pPr>
        <w:pStyle w:val="Normal"/>
        <w:numPr>
          <w:ilvl w:val="0"/>
          <w:numId w:val="15"/>
        </w:numPr>
        <w:jc w:val="both"/>
        <w:rPr>
          <w:sz w:val="24"/>
        </w:rPr>
      </w:pPr>
      <w:r>
        <w:rPr>
          <w:sz w:val="24"/>
        </w:rPr>
        <w:t>Table of Losses and Exposures by major counterparty</w:t>
      </w:r>
    </w:p>
    <w:p>
      <w:pPr>
        <w:pStyle w:val="Normal"/>
        <w:pBdr>
          <w:bottom w:val="single" w:sz="12" w:space="1" w:color="000000"/>
        </w:pBdr>
        <w:jc w:val="both"/>
        <w:rPr>
          <w:sz w:val="24"/>
        </w:rPr>
      </w:pPr>
      <w:r>
        <w:rPr>
          <w:sz w:val="24"/>
        </w:rPr>
      </w:r>
    </w:p>
    <w:p>
      <w:pPr>
        <w:pStyle w:val="Normal"/>
        <w:ind w:start="2880" w:end="0"/>
        <w:jc w:val="both"/>
        <w:rPr>
          <w:sz w:val="24"/>
        </w:rPr>
      </w:pPr>
      <w:r>
        <w:rPr>
          <w:sz w:val="24"/>
        </w:rPr>
        <w:t>Credit Exposures in MM –USD</w:t>
      </w:r>
    </w:p>
    <w:p>
      <w:pPr>
        <w:pStyle w:val="Normal"/>
        <w:rPr>
          <w:sz w:val="24"/>
        </w:rPr>
      </w:pPr>
      <w:r>
        <w:rPr>
          <w:sz w:val="24"/>
        </w:rPr>
        <w:t>________________________________________________________________________</w:t>
      </w:r>
    </w:p>
    <w:p>
      <w:pPr>
        <w:pStyle w:val="Heading4"/>
        <w:ind w:hanging="0" w:start="0"/>
        <w:rPr/>
      </w:pPr>
      <w:r>
        <w:rPr/>
        <w:t>Counterparty            MTM(V)               Actual Exposure       Ex.Total Exp.        MTE-99</w:t>
      </w:r>
    </w:p>
    <w:p>
      <w:pPr>
        <w:pStyle w:val="Heading2"/>
        <w:ind w:hanging="0" w:start="0"/>
        <w:rPr/>
      </w:pPr>
      <w:r>
        <w:rPr/>
        <w:t>Duke</w:t>
      </w:r>
    </w:p>
    <w:p>
      <w:pPr>
        <w:pStyle w:val="Normal"/>
        <w:rPr>
          <w:sz w:val="24"/>
        </w:rPr>
      </w:pPr>
      <w:r>
        <w:rPr>
          <w:sz w:val="24"/>
        </w:rPr>
        <w:t>Aquila</w:t>
      </w:r>
    </w:p>
    <w:p>
      <w:pPr>
        <w:pStyle w:val="Normal"/>
        <w:rPr>
          <w:sz w:val="24"/>
        </w:rPr>
      </w:pPr>
      <w:r>
        <w:rPr>
          <w:sz w:val="24"/>
        </w:rPr>
        <w:t>BPAmoco</w:t>
      </w:r>
    </w:p>
    <w:p>
      <w:pPr>
        <w:pStyle w:val="Normal"/>
        <w:rPr>
          <w:sz w:val="24"/>
        </w:rPr>
      </w:pPr>
      <w:r>
        <w:rPr>
          <w:sz w:val="24"/>
        </w:rPr>
        <w:t>Dynegy</w:t>
      </w:r>
    </w:p>
    <w:p>
      <w:pPr>
        <w:pStyle w:val="Normal"/>
        <w:pBdr>
          <w:bottom w:val="single" w:sz="12" w:space="1" w:color="000000"/>
        </w:pBdr>
        <w:jc w:val="both"/>
        <w:rPr>
          <w:sz w:val="24"/>
        </w:rPr>
      </w:pPr>
      <w:r>
        <w:rPr>
          <w:sz w:val="24"/>
        </w:rPr>
      </w:r>
    </w:p>
    <w:p>
      <w:pPr>
        <w:pStyle w:val="Normal"/>
        <w:ind w:start="2880" w:end="0"/>
        <w:jc w:val="both"/>
        <w:rPr>
          <w:sz w:val="24"/>
        </w:rPr>
      </w:pPr>
      <w:r>
        <w:rPr>
          <w:sz w:val="24"/>
        </w:rPr>
        <w:t>Credit Losses in MM –USD</w:t>
      </w:r>
    </w:p>
    <w:p>
      <w:pPr>
        <w:pStyle w:val="Normal"/>
        <w:rPr>
          <w:sz w:val="24"/>
        </w:rPr>
      </w:pPr>
      <w:r>
        <w:rPr>
          <w:sz w:val="24"/>
        </w:rPr>
        <w:t>________________________________________________________________________</w:t>
      </w:r>
    </w:p>
    <w:p>
      <w:pPr>
        <w:pStyle w:val="Heading4"/>
        <w:ind w:hanging="0" w:start="0"/>
        <w:rPr/>
      </w:pPr>
      <w:r>
        <w:rPr/>
        <w:t xml:space="preserve">Counterparty            Expected Loss               P-95        P-99    P-99.9    </w:t>
      </w:r>
    </w:p>
    <w:p>
      <w:pPr>
        <w:pStyle w:val="Heading2"/>
        <w:ind w:hanging="0" w:start="0"/>
        <w:rPr/>
      </w:pPr>
      <w:r>
        <w:rPr/>
        <w:t>Duke</w:t>
      </w:r>
    </w:p>
    <w:p>
      <w:pPr>
        <w:pStyle w:val="Normal"/>
        <w:rPr>
          <w:sz w:val="24"/>
        </w:rPr>
      </w:pPr>
      <w:r>
        <w:rPr>
          <w:sz w:val="24"/>
        </w:rPr>
        <w:t>Aquila</w:t>
      </w:r>
    </w:p>
    <w:p>
      <w:pPr>
        <w:pStyle w:val="Normal"/>
        <w:rPr>
          <w:sz w:val="24"/>
        </w:rPr>
      </w:pPr>
      <w:r>
        <w:rPr>
          <w:sz w:val="24"/>
        </w:rPr>
        <w:t>BPAmoco</w:t>
      </w:r>
    </w:p>
    <w:p>
      <w:pPr>
        <w:pStyle w:val="Normal"/>
        <w:rPr>
          <w:sz w:val="24"/>
        </w:rPr>
      </w:pPr>
      <w:r>
        <w:rPr>
          <w:sz w:val="24"/>
        </w:rPr>
        <w:t>Dynegy</w:t>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r>
    </w:p>
    <w:p>
      <w:pPr>
        <w:pStyle w:val="Normal"/>
        <w:numPr>
          <w:ilvl w:val="0"/>
          <w:numId w:val="15"/>
        </w:numPr>
        <w:rPr>
          <w:sz w:val="24"/>
        </w:rPr>
      </w:pPr>
      <w:r>
        <w:rPr>
          <w:b/>
          <w:sz w:val="24"/>
          <w:u w:val="single"/>
        </w:rPr>
        <w:t>Exposure Profile Diagrams—RECENT DEALS (ELECTROLUX, ELLI-LILLY)</w:t>
      </w:r>
    </w:p>
    <w:p>
      <w:pPr>
        <w:pStyle w:val="Normal"/>
        <w:rPr>
          <w:sz w:val="24"/>
        </w:rPr>
      </w:pPr>
      <w:r>
        <w:rPr>
          <w:sz w:val="24"/>
        </w:rPr>
      </w:r>
    </w:p>
    <w:p>
      <w:pPr>
        <w:pStyle w:val="Normal"/>
        <w:ind w:start="2880" w:end="0"/>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2">
                <wp:simplePos x="0" y="0"/>
                <wp:positionH relativeFrom="column">
                  <wp:posOffset>320040</wp:posOffset>
                </wp:positionH>
                <wp:positionV relativeFrom="paragraph">
                  <wp:posOffset>121920</wp:posOffset>
                </wp:positionV>
                <wp:extent cx="0" cy="2560320"/>
                <wp:effectExtent l="38100" t="0" r="38100" b="0"/>
                <wp:wrapNone/>
                <wp:docPr id="1" name=""/>
                <a:graphic xmlns:a="http://schemas.openxmlformats.org/drawingml/2006/main">
                  <a:graphicData uri="http://schemas.microsoft.com/office/word/2010/wordprocessingShape">
                    <wps:wsp>
                      <wps:cNvSpPr/>
                      <wps:spPr>
                        <a:xfrm flipV="1">
                          <a:off x="0" y="0"/>
                          <a:ext cx="0" cy="2560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9.6pt" to="25.2pt,211.1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381000</wp:posOffset>
                </wp:positionH>
                <wp:positionV relativeFrom="paragraph">
                  <wp:posOffset>641985</wp:posOffset>
                </wp:positionV>
                <wp:extent cx="3581400" cy="1850390"/>
                <wp:effectExtent l="5080" t="5080" r="5715" b="3810"/>
                <wp:wrapNone/>
                <wp:docPr id="2" name=""/>
                <a:graphic xmlns:a="http://schemas.openxmlformats.org/drawingml/2006/main">
                  <a:graphicData uri="http://schemas.microsoft.com/office/word/2010/wordprocessingShape">
                    <wps:wsp>
                      <wps:cNvSpPr/>
                      <wps:spPr>
                        <a:xfrm>
                          <a:off x="0" y="0"/>
                          <a:ext cx="3581280" cy="1850400"/>
                        </a:xfrm>
                        <a:custGeom>
                          <a:avLst/>
                          <a:gdLst/>
                          <a:ahLst/>
                          <a:rect l="l" t="t" r="r" b="b"/>
                          <a:pathLst>
                            <a:path w="5640" h="2914">
                              <a:moveTo>
                                <a:pt x="0" y="2865"/>
                              </a:moveTo>
                              <a:cubicBezTo>
                                <a:pt x="262" y="2434"/>
                                <a:pt x="596" y="1682"/>
                                <a:pt x="1095" y="1350"/>
                              </a:cubicBezTo>
                              <a:cubicBezTo>
                                <a:pt x="1142" y="1279"/>
                                <a:pt x="1231" y="1197"/>
                                <a:pt x="1305" y="1155"/>
                              </a:cubicBezTo>
                              <a:cubicBezTo>
                                <a:pt x="1355" y="1127"/>
                                <a:pt x="1393" y="1117"/>
                                <a:pt x="1440" y="1080"/>
                              </a:cubicBezTo>
                              <a:cubicBezTo>
                                <a:pt x="1468" y="1058"/>
                                <a:pt x="1487" y="1027"/>
                                <a:pt x="1515" y="1005"/>
                              </a:cubicBezTo>
                              <a:cubicBezTo>
                                <a:pt x="1538" y="987"/>
                                <a:pt x="1568" y="979"/>
                                <a:pt x="1590" y="960"/>
                              </a:cubicBezTo>
                              <a:cubicBezTo>
                                <a:pt x="1672" y="892"/>
                                <a:pt x="1709" y="831"/>
                                <a:pt x="1770" y="750"/>
                              </a:cubicBezTo>
                              <a:cubicBezTo>
                                <a:pt x="1804" y="649"/>
                                <a:pt x="1770" y="773"/>
                                <a:pt x="1770" y="615"/>
                              </a:cubicBezTo>
                              <a:cubicBezTo>
                                <a:pt x="1770" y="607"/>
                                <a:pt x="1784" y="467"/>
                                <a:pt x="1800" y="435"/>
                              </a:cubicBezTo>
                              <a:cubicBezTo>
                                <a:pt x="1833" y="368"/>
                                <a:pt x="1848" y="384"/>
                                <a:pt x="1890" y="330"/>
                              </a:cubicBezTo>
                              <a:cubicBezTo>
                                <a:pt x="2036" y="142"/>
                                <a:pt x="1851" y="339"/>
                                <a:pt x="2040" y="150"/>
                              </a:cubicBezTo>
                              <a:cubicBezTo>
                                <a:pt x="2082" y="108"/>
                                <a:pt x="2102" y="59"/>
                                <a:pt x="2160" y="30"/>
                              </a:cubicBezTo>
                              <a:cubicBezTo>
                                <a:pt x="2191" y="15"/>
                                <a:pt x="2251" y="6"/>
                                <a:pt x="2280" y="0"/>
                              </a:cubicBezTo>
                              <a:cubicBezTo>
                                <a:pt x="2382" y="17"/>
                                <a:pt x="2514" y="58"/>
                                <a:pt x="2580" y="150"/>
                              </a:cubicBezTo>
                              <a:cubicBezTo>
                                <a:pt x="2603" y="183"/>
                                <a:pt x="2618" y="221"/>
                                <a:pt x="2640" y="255"/>
                              </a:cubicBezTo>
                              <a:cubicBezTo>
                                <a:pt x="2655" y="317"/>
                                <a:pt x="2675" y="362"/>
                                <a:pt x="2700" y="420"/>
                              </a:cubicBezTo>
                              <a:cubicBezTo>
                                <a:pt x="2706" y="435"/>
                                <a:pt x="2705" y="453"/>
                                <a:pt x="2715" y="465"/>
                              </a:cubicBezTo>
                              <a:cubicBezTo>
                                <a:pt x="2755" y="515"/>
                                <a:pt x="2844" y="526"/>
                                <a:pt x="2895" y="555"/>
                              </a:cubicBezTo>
                              <a:cubicBezTo>
                                <a:pt x="2973" y="598"/>
                                <a:pt x="3031" y="653"/>
                                <a:pt x="3120" y="675"/>
                              </a:cubicBezTo>
                              <a:cubicBezTo>
                                <a:pt x="3246" y="769"/>
                                <a:pt x="3109" y="680"/>
                                <a:pt x="3255" y="735"/>
                              </a:cubicBezTo>
                              <a:cubicBezTo>
                                <a:pt x="3311" y="756"/>
                                <a:pt x="3346" y="805"/>
                                <a:pt x="3405" y="825"/>
                              </a:cubicBezTo>
                              <a:cubicBezTo>
                                <a:pt x="3415" y="845"/>
                                <a:pt x="3431" y="863"/>
                                <a:pt x="3435" y="885"/>
                              </a:cubicBezTo>
                              <a:cubicBezTo>
                                <a:pt x="3449" y="971"/>
                                <a:pt x="3426" y="1117"/>
                                <a:pt x="3495" y="1200"/>
                              </a:cubicBezTo>
                              <a:cubicBezTo>
                                <a:pt x="3549" y="1265"/>
                                <a:pt x="3624" y="1312"/>
                                <a:pt x="3675" y="1380"/>
                              </a:cubicBezTo>
                              <a:cubicBezTo>
                                <a:pt x="3739" y="1465"/>
                                <a:pt x="3787" y="1558"/>
                                <a:pt x="3840" y="1650"/>
                              </a:cubicBezTo>
                              <a:cubicBezTo>
                                <a:pt x="3872" y="1705"/>
                                <a:pt x="3875" y="1689"/>
                                <a:pt x="3900" y="1755"/>
                              </a:cubicBezTo>
                              <a:cubicBezTo>
                                <a:pt x="3935" y="1849"/>
                                <a:pt x="3911" y="1968"/>
                                <a:pt x="3960" y="2055"/>
                              </a:cubicBezTo>
                              <a:cubicBezTo>
                                <a:pt x="3971" y="2074"/>
                                <a:pt x="4042" y="2180"/>
                                <a:pt x="4065" y="2205"/>
                              </a:cubicBezTo>
                              <a:cubicBezTo>
                                <a:pt x="4108" y="2252"/>
                                <a:pt x="4162" y="2289"/>
                                <a:pt x="4200" y="2340"/>
                              </a:cubicBezTo>
                              <a:cubicBezTo>
                                <a:pt x="4222" y="2369"/>
                                <a:pt x="4326" y="2535"/>
                                <a:pt x="4380" y="2565"/>
                              </a:cubicBezTo>
                              <a:cubicBezTo>
                                <a:pt x="4408" y="2580"/>
                                <a:pt x="4440" y="2585"/>
                                <a:pt x="4470" y="2595"/>
                              </a:cubicBezTo>
                              <a:cubicBezTo>
                                <a:pt x="4504" y="2606"/>
                                <a:pt x="4526" y="2644"/>
                                <a:pt x="4560" y="2655"/>
                              </a:cubicBezTo>
                              <a:cubicBezTo>
                                <a:pt x="4673" y="2693"/>
                                <a:pt x="4534" y="2642"/>
                                <a:pt x="4650" y="2700"/>
                              </a:cubicBezTo>
                              <a:cubicBezTo>
                                <a:pt x="4715" y="2732"/>
                                <a:pt x="4784" y="2749"/>
                                <a:pt x="4845" y="2790"/>
                              </a:cubicBezTo>
                              <a:cubicBezTo>
                                <a:pt x="4964" y="2779"/>
                                <a:pt x="5060" y="2756"/>
                                <a:pt x="5175" y="2775"/>
                              </a:cubicBezTo>
                              <a:cubicBezTo>
                                <a:pt x="5239" y="2839"/>
                                <a:pt x="5283" y="2836"/>
                                <a:pt x="5370" y="2865"/>
                              </a:cubicBezTo>
                              <a:cubicBezTo>
                                <a:pt x="5430" y="2885"/>
                                <a:pt x="5396" y="2906"/>
                                <a:pt x="5460" y="2910"/>
                              </a:cubicBezTo>
                              <a:cubicBezTo>
                                <a:pt x="5520" y="2914"/>
                                <a:pt x="5580" y="2910"/>
                                <a:pt x="5640" y="291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5640,2914" path="m0,2865c262,2434,596,1682,1095,1350c1142,1279,1231,1197,1305,1155c1355,1127,1393,1117,1440,1080c1468,1058,1487,1027,1515,1005c1538,987,1568,979,1590,960c1672,892,1709,831,1770,750c1804,649,1770,773,1770,615c1770,607,1784,467,1800,435c1833,368,1848,384,1890,330c2036,142,1851,339,2040,150c2082,108,2102,59,2160,30c2191,15,2251,6,2280,0c2382,17,2514,58,2580,150c2603,183,2618,221,2640,255c2655,317,2675,362,2700,420c2706,435,2705,453,2715,465c2755,515,2844,526,2895,555c2973,598,3031,653,3120,675c3246,769,3109,680,3255,735c3311,756,3346,805,3405,825c3415,845,3431,863,3435,885c3449,971,3426,1117,3495,1200c3549,1265,3624,1312,3675,1380c3739,1465,3787,1558,3840,1650c3872,1705,3875,1689,3900,1755c3935,1849,3911,1968,3960,2055c3971,2074,4042,2180,4065,2205c4108,2252,4162,2289,4200,2340c4222,2369,4326,2535,4380,2565c4408,2580,4440,2585,4470,2595c4504,2606,4526,2644,4560,2655c4673,2693,4534,2642,4650,2700c4715,2732,4784,2749,4845,2790c4964,2779,5060,2756,5175,2775c5239,2839,5283,2836,5370,2865c5430,2885,5396,2906,5460,2910c5520,2914,5580,2910,5640,2910e" stroked="t" o:allowincell="f" style="position:absolute;margin-left:30pt;margin-top:50.55pt;width:281.95pt;height:145.6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400050</wp:posOffset>
                </wp:positionH>
                <wp:positionV relativeFrom="paragraph">
                  <wp:posOffset>2023110</wp:posOffset>
                </wp:positionV>
                <wp:extent cx="3486150" cy="489585"/>
                <wp:effectExtent l="5080" t="5715" r="5715" b="635"/>
                <wp:wrapNone/>
                <wp:docPr id="3" name=""/>
                <a:graphic xmlns:a="http://schemas.openxmlformats.org/drawingml/2006/main">
                  <a:graphicData uri="http://schemas.microsoft.com/office/word/2010/wordprocessingShape">
                    <wps:wsp>
                      <wps:cNvSpPr/>
                      <wps:spPr>
                        <a:xfrm>
                          <a:off x="0" y="0"/>
                          <a:ext cx="3486240" cy="489600"/>
                        </a:xfrm>
                        <a:custGeom>
                          <a:avLst/>
                          <a:gdLst/>
                          <a:ahLst/>
                          <a:rect l="l" t="t" r="r" b="b"/>
                          <a:pathLst>
                            <a:path w="5490" h="771">
                              <a:moveTo>
                                <a:pt x="0" y="765"/>
                              </a:moveTo>
                              <a:cubicBezTo>
                                <a:pt x="101" y="731"/>
                                <a:pt x="130" y="651"/>
                                <a:pt x="210" y="585"/>
                              </a:cubicBezTo>
                              <a:cubicBezTo>
                                <a:pt x="255" y="548"/>
                                <a:pt x="315" y="532"/>
                                <a:pt x="360" y="495"/>
                              </a:cubicBezTo>
                              <a:cubicBezTo>
                                <a:pt x="485" y="391"/>
                                <a:pt x="585" y="255"/>
                                <a:pt x="735" y="180"/>
                              </a:cubicBezTo>
                              <a:cubicBezTo>
                                <a:pt x="753" y="171"/>
                                <a:pt x="775" y="172"/>
                                <a:pt x="795" y="165"/>
                              </a:cubicBezTo>
                              <a:cubicBezTo>
                                <a:pt x="953" y="112"/>
                                <a:pt x="1020" y="116"/>
                                <a:pt x="1215" y="105"/>
                              </a:cubicBezTo>
                              <a:cubicBezTo>
                                <a:pt x="1336" y="85"/>
                                <a:pt x="1427" y="30"/>
                                <a:pt x="1545" y="0"/>
                              </a:cubicBezTo>
                              <a:cubicBezTo>
                                <a:pt x="1690" y="12"/>
                                <a:pt x="1836" y="52"/>
                                <a:pt x="1980" y="60"/>
                              </a:cubicBezTo>
                              <a:cubicBezTo>
                                <a:pt x="2125" y="68"/>
                                <a:pt x="2270" y="70"/>
                                <a:pt x="2415" y="75"/>
                              </a:cubicBezTo>
                              <a:cubicBezTo>
                                <a:pt x="2495" y="102"/>
                                <a:pt x="2575" y="123"/>
                                <a:pt x="2655" y="150"/>
                              </a:cubicBezTo>
                              <a:cubicBezTo>
                                <a:pt x="2676" y="157"/>
                                <a:pt x="2694" y="174"/>
                                <a:pt x="2715" y="180"/>
                              </a:cubicBezTo>
                              <a:cubicBezTo>
                                <a:pt x="2821" y="212"/>
                                <a:pt x="2935" y="211"/>
                                <a:pt x="3045" y="225"/>
                              </a:cubicBezTo>
                              <a:cubicBezTo>
                                <a:pt x="3140" y="237"/>
                                <a:pt x="3235" y="258"/>
                                <a:pt x="3330" y="270"/>
                              </a:cubicBezTo>
                              <a:cubicBezTo>
                                <a:pt x="3402" y="294"/>
                                <a:pt x="3468" y="309"/>
                                <a:pt x="3540" y="330"/>
                              </a:cubicBezTo>
                              <a:cubicBezTo>
                                <a:pt x="3705" y="377"/>
                                <a:pt x="3865" y="437"/>
                                <a:pt x="4035" y="465"/>
                              </a:cubicBezTo>
                              <a:cubicBezTo>
                                <a:pt x="4147" y="521"/>
                                <a:pt x="4273" y="546"/>
                                <a:pt x="4395" y="570"/>
                              </a:cubicBezTo>
                              <a:cubicBezTo>
                                <a:pt x="4516" y="594"/>
                                <a:pt x="4635" y="633"/>
                                <a:pt x="4755" y="660"/>
                              </a:cubicBezTo>
                              <a:cubicBezTo>
                                <a:pt x="4863" y="684"/>
                                <a:pt x="4975" y="687"/>
                                <a:pt x="5085" y="705"/>
                              </a:cubicBezTo>
                              <a:cubicBezTo>
                                <a:pt x="5217" y="771"/>
                                <a:pt x="5332" y="765"/>
                                <a:pt x="5490" y="765"/>
                              </a:cubicBezTo>
                              <a:lnTo>
                                <a:pt x="5346" y="750"/>
                              </a:lnTo>
                              <a:lnTo>
                                <a:pt x="5490" y="75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5490,771" path="m0,765c101,731,130,651,210,585c255,548,315,532,360,495c485,391,585,255,735,180c753,171,775,172,795,165c953,112,1020,116,1215,105c1336,85,1427,30,1545,0c1690,12,1836,52,1980,60c2125,68,2270,70,2415,75c2495,102,2575,123,2655,150c2676,157,2694,174,2715,180c2821,212,2935,211,3045,225c3140,237,3235,258,3330,270c3402,294,3468,309,3540,330c3705,377,3865,437,4035,465c4147,521,4273,546,4395,570c4516,594,4635,633,4755,660c4863,684,4975,687,5085,705c5217,771,5332,765,5490,765l5346,750l5490,750e" stroked="t" o:allowincell="f" style="position:absolute;margin-left:31.5pt;margin-top:159.3pt;width:274.45pt;height:38.5pt;mso-wrap-style:none;v-text-anchor:middle">
                <v:fill o:detectmouseclick="t" on="false"/>
                <v:stroke color="black" weight="9360" joinstyle="round" endcap="flat"/>
                <w10:wrap type="none"/>
              </v:shape>
            </w:pict>
          </mc:Fallback>
        </mc:AlternateContent>
        <w:drawing>
          <wp:anchor behindDoc="0" distT="0" distB="0" distL="114935" distR="114935" simplePos="0" locked="0" layoutInCell="0" allowOverlap="1" relativeHeight="17">
            <wp:simplePos x="0" y="0"/>
            <wp:positionH relativeFrom="column">
              <wp:posOffset>0</wp:posOffset>
            </wp:positionH>
            <wp:positionV relativeFrom="paragraph">
              <wp:posOffset>635</wp:posOffset>
            </wp:positionV>
            <wp:extent cx="4695190" cy="2866390"/>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rcRect l="-8" t="-13" r="-8" b="-13"/>
                    <a:stretch>
                      <a:fillRect/>
                    </a:stretch>
                  </pic:blipFill>
                  <pic:spPr bwMode="auto">
                    <a:xfrm>
                      <a:off x="0" y="0"/>
                      <a:ext cx="4695190" cy="2866390"/>
                    </a:xfrm>
                    <a:prstGeom prst="rect">
                      <a:avLst/>
                    </a:prstGeom>
                    <a:noFill/>
                  </pic:spPr>
                </pic:pic>
              </a:graphicData>
            </a:graphic>
          </wp:anchor>
        </w:drawing>
        <w:drawing>
          <wp:anchor behindDoc="0" distT="0" distB="0" distL="114935" distR="114935" simplePos="0" locked="0" layoutInCell="0" allowOverlap="1" relativeHeight="18">
            <wp:simplePos x="0" y="0"/>
            <wp:positionH relativeFrom="column">
              <wp:posOffset>0</wp:posOffset>
            </wp:positionH>
            <wp:positionV relativeFrom="paragraph">
              <wp:posOffset>635</wp:posOffset>
            </wp:positionV>
            <wp:extent cx="5483225" cy="3449955"/>
            <wp:effectExtent l="0" t="0" r="0" b="0"/>
            <wp:wrapTopAndBottom/>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3"/>
                    <a:srcRect l="-6" t="-10" r="-6" b="-10"/>
                    <a:stretch>
                      <a:fillRect/>
                    </a:stretch>
                  </pic:blipFill>
                  <pic:spPr bwMode="auto">
                    <a:xfrm>
                      <a:off x="0" y="0"/>
                      <a:ext cx="5483225" cy="344995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14">
                <wp:simplePos x="0" y="0"/>
                <wp:positionH relativeFrom="column">
                  <wp:posOffset>2327275</wp:posOffset>
                </wp:positionH>
                <wp:positionV relativeFrom="paragraph">
                  <wp:posOffset>757555</wp:posOffset>
                </wp:positionV>
                <wp:extent cx="557530" cy="374650"/>
                <wp:effectExtent l="0" t="0" r="0" b="0"/>
                <wp:wrapNone/>
                <wp:docPr id="6" name="Frame2"/>
                <a:graphic xmlns:a="http://schemas.openxmlformats.org/drawingml/2006/main">
                  <a:graphicData uri="http://schemas.microsoft.com/office/word/2010/wordprocessingShape">
                    <wps:wsp>
                      <wps:cNvSpPr txBox="1"/>
                      <wps:spPr>
                        <a:xfrm>
                          <a:off x="0" y="0"/>
                          <a:ext cx="557530" cy="374650"/>
                        </a:xfrm>
                        <a:prstGeom prst="rect"/>
                        <a:solidFill>
                          <a:srgbClr val="FFFFFF"/>
                        </a:solidFill>
                        <a:ln w="9525">
                          <a:solidFill>
                            <a:srgbClr val="000000"/>
                          </a:solidFill>
                        </a:ln>
                      </wps:spPr>
                      <wps:txbx>
                        <w:txbxContent>
                          <w:p>
                            <w:pPr>
                              <w:pStyle w:val="Normal"/>
                              <w:rPr/>
                            </w:pPr>
                            <w:r>
                              <w:rPr/>
                              <w:t>99 %</w:t>
                            </w:r>
                          </w:p>
                        </w:txbxContent>
                      </wps:txbx>
                      <wps:bodyPr anchor="t" lIns="91440" tIns="45720" rIns="91440" bIns="45720">
                        <a:noAutofit/>
                      </wps:bodyPr>
                    </wps:wsp>
                  </a:graphicData>
                </a:graphic>
              </wp:anchor>
            </w:drawing>
          </mc:Choice>
          <mc:Fallback>
            <w:pict>
              <v:rect fillcolor="#FFFFFF" strokecolor="#000000" strokeweight="0pt" style="position:absolute;rotation:-0;width:43.9pt;height:29.5pt;mso-wrap-distance-left:9.05pt;mso-wrap-distance-right:9.05pt;mso-wrap-distance-top:0pt;mso-wrap-distance-bottom:0pt;margin-top:59.65pt;mso-position-vertical-relative:text;margin-left:183.25pt;mso-position-horizontal-relative:text">
                <v:textbox>
                  <w:txbxContent>
                    <w:p>
                      <w:pPr>
                        <w:pStyle w:val="Normal"/>
                        <w:rPr/>
                      </w:pPr>
                      <w:r>
                        <w:rPr/>
                        <w:t>99 %</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1229995</wp:posOffset>
                </wp:positionH>
                <wp:positionV relativeFrom="paragraph">
                  <wp:posOffset>1763395</wp:posOffset>
                </wp:positionV>
                <wp:extent cx="1106170" cy="283210"/>
                <wp:effectExtent l="0" t="0" r="0" b="0"/>
                <wp:wrapNone/>
                <wp:docPr id="7" name="Frame1"/>
                <a:graphic xmlns:a="http://schemas.openxmlformats.org/drawingml/2006/main">
                  <a:graphicData uri="http://schemas.microsoft.com/office/word/2010/wordprocessingShape">
                    <wps:wsp>
                      <wps:cNvSpPr txBox="1"/>
                      <wps:spPr>
                        <a:xfrm>
                          <a:off x="0" y="0"/>
                          <a:ext cx="1106170" cy="283210"/>
                        </a:xfrm>
                        <a:prstGeom prst="rect"/>
                        <a:solidFill>
                          <a:srgbClr val="FFFFFF"/>
                        </a:solidFill>
                        <a:ln w="9525">
                          <a:solidFill>
                            <a:srgbClr val="000000"/>
                          </a:solidFill>
                        </a:ln>
                      </wps:spPr>
                      <wps:txbx>
                        <w:txbxContent>
                          <w:p>
                            <w:pPr>
                              <w:pStyle w:val="Normal"/>
                              <w:rPr/>
                            </w:pPr>
                            <w:r>
                              <w:rPr/>
                              <w:t>Expected AE</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22.3pt;mso-wrap-distance-left:9.05pt;mso-wrap-distance-right:9.05pt;mso-wrap-distance-top:0pt;mso-wrap-distance-bottom:0pt;margin-top:138.85pt;mso-position-vertical-relative:text;margin-left:96.85pt;mso-position-horizontal-relative:text">
                <v:textbox>
                  <w:txbxContent>
                    <w:p>
                      <w:pPr>
                        <w:pStyle w:val="Normal"/>
                        <w:rPr/>
                      </w:pPr>
                      <w:r>
                        <w:rPr/>
                        <w:t>Expected AE</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rPr>
        <w:u w:val="single"/>
        <w:b/>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360"/>
        </w:tabs>
        <w:ind w:start="360" w:hanging="360"/>
      </w:pPr>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both"/>
      <w:outlineLvl w:val="2"/>
    </w:pPr>
    <w:rPr>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ind w:hanging="0" w:start="3600" w:end="0"/>
      <w:outlineLvl w:val="4"/>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u w:val="singl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2001-03-02T10:17:00Z</dcterms:created>
  <dc:creator>Naveen C. Andrews</dc:creator>
  <dc:description/>
  <dc:language>en-CA</dc:language>
  <cp:lastModifiedBy>nandrew</cp:lastModifiedBy>
  <cp:lastPrinted>2001-03-01T17:13:00Z</cp:lastPrinted>
  <dcterms:modified xsi:type="dcterms:W3CDTF">2001-09-24T19:31:00Z</dcterms:modified>
  <cp:revision>3</cp:revision>
  <dc:subject/>
  <dc:title>Credit Exposures:  Risk Metrics for Implementation</dc:title>
</cp:coreProperties>
</file>