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r>
        <w:rPr>
          <w:b/>
          <w:sz w:val="22"/>
          <w:u w:val="single"/>
        </w:rPr>
        <w:t>SCHEDULE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to the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CREDIT SUPPORT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b/>
        <w:t xml:space="preserve">dated as of </w:t>
      </w:r>
      <w:r>
        <w:rPr>
          <w:b/>
          <w:sz w:val="22"/>
          <w:u w:val="single"/>
        </w:rPr>
        <w:t xml:space="preserve">                               </w:t>
      </w:r>
      <w:r>
        <w:rPr>
          <w:b/>
          <w:sz w:val="22"/>
        </w:rPr>
        <w:t>, 2001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Heading1"/>
        <w:ind w:hanging="0" w:start="0"/>
        <w:rPr/>
      </w:pPr>
      <w:r>
        <w:rPr/>
        <w:t>DRAFT</w:t>
        <w:tab/>
        <w:t>DRAFT</w:t>
        <w:tab/>
        <w:t>DRAFT</w:t>
        <w:tab/>
        <w:t>DRAFT</w:t>
        <w:tab/>
        <w:t>DRAFT</w:t>
      </w:r>
    </w:p>
    <w:p>
      <w:pPr>
        <w:pStyle w:val="Normal"/>
        <w:widowControl w:val="false"/>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between</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AMERADA HESS CORPORATION  (Party "A")</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and</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«COMPANY» (“Party B”)</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Paragraph 13. Elections and Variables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r>
    </w:p>
    <w:p>
      <w:pPr>
        <w:pStyle w:val="BodyTextInden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2"/>
        </w:rPr>
        <w:t>(b)</w:t>
        <w:tab/>
      </w:r>
      <w:r>
        <w:rPr>
          <w:b/>
          <w:sz w:val="22"/>
        </w:rPr>
        <w:t>Credit Support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w:t>
        <w:tab/>
      </w:r>
      <w:r>
        <w:rPr>
          <w:b/>
          <w:sz w:val="22"/>
        </w:rPr>
        <w:t>Delivery Amount, Return and Credit Support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"Delivery Amount"</w:t>
      </w:r>
      <w:r>
        <w:rPr>
          <w:sz w:val="22"/>
        </w:rPr>
        <w:t xml:space="preserve"> has the meaning specified in Paragraph 3(a).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(B)</w:t>
        <w:tab/>
      </w:r>
      <w:r>
        <w:rPr>
          <w:b/>
          <w:sz w:val="22"/>
        </w:rPr>
        <w:t>"Return Amount"</w:t>
      </w:r>
      <w:r>
        <w:rPr>
          <w:sz w:val="22"/>
        </w:rPr>
        <w:t xml:space="preserve"> has the meaning specified in Paragraph 3(b).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(C)</w:t>
        <w:tab/>
      </w:r>
      <w:r>
        <w:rPr>
          <w:b/>
          <w:sz w:val="22"/>
        </w:rPr>
        <w:t>"Credit Support Amount"</w:t>
      </w:r>
      <w:r>
        <w:rPr>
          <w:sz w:val="22"/>
        </w:rPr>
        <w:t xml:space="preserve"> has the meaning specified in Paragraph 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Eligible Collateral.</w:t>
      </w:r>
      <w:r>
        <w:rPr>
          <w:sz w:val="22"/>
        </w:rPr>
        <w:t xml:space="preserve">  The following will qualify as </w:t>
      </w:r>
      <w:r>
        <w:rPr>
          <w:b/>
          <w:sz w:val="22"/>
        </w:rPr>
        <w:t>"Eligible Collateral"</w:t>
      </w:r>
      <w:r>
        <w:rPr>
          <w:sz w:val="22"/>
        </w:rPr>
        <w:t xml:space="preserve"> for the party specified: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tbl>
      <w:tblPr>
        <w:tblW w:w="7306" w:type="dxa"/>
        <w:jc w:val="start"/>
        <w:tblInd w:w="1548" w:type="dxa"/>
        <w:tblLayout w:type="fixed"/>
        <w:tblCellMar>
          <w:top w:w="0" w:type="dxa"/>
          <w:start w:w="108" w:type="dxa"/>
          <w:bottom w:w="0" w:type="dxa"/>
          <w:end w:w="108" w:type="dxa"/>
        </w:tblCellMar>
      </w:tblPr>
      <w:tblGrid>
        <w:gridCol w:w="1461"/>
        <w:gridCol w:w="2415"/>
        <w:gridCol w:w="804"/>
        <w:gridCol w:w="810"/>
        <w:gridCol w:w="1816"/>
      </w:tblGrid>
      <w:tr>
        <w:trPr/>
        <w:tc>
          <w:tcPr>
            <w:tcW w:w="1461" w:type="dxa"/>
            <w:tcBorders/>
          </w:tcPr>
          <w:p>
            <w:pPr>
              <w:pStyle w:val="Normal"/>
              <w:snapToGrid w:val="false"/>
              <w:rPr/>
            </w:pPr>
            <w:r>
              <w:rPr/>
            </w:r>
          </w:p>
          <w:p>
            <w:pPr>
              <w:pStyle w:val="Normal"/>
              <w:rPr/>
            </w:pPr>
            <w:r>
              <w:rPr/>
            </w:r>
          </w:p>
          <w:p>
            <w:pPr>
              <w:pStyle w:val="Normal"/>
              <w:rPr/>
            </w:pPr>
            <w:r>
              <w:rPr/>
            </w:r>
          </w:p>
          <w:p>
            <w:pPr>
              <w:pStyle w:val="Normal"/>
              <w:rPr/>
            </w:pPr>
            <w:r>
              <w:rPr/>
              <w:t>(A</w:t>
            </w:r>
          </w:p>
          <w:p>
            <w:pPr>
              <w:pStyle w:val="Normal"/>
              <w:rPr>
                <w:strike/>
              </w:rPr>
            </w:pPr>
            <w:r>
              <w:rPr>
                <w:strike/>
              </w:rPr>
            </w:r>
          </w:p>
        </w:tc>
        <w:tc>
          <w:tcPr>
            <w:tcW w:w="2415"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strike/>
                <w:sz w:val="22"/>
              </w:rPr>
            </w:pPr>
            <w:r>
              <w:rPr>
                <w:strike/>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Cash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BodyText2"/>
              <w:rPr>
                <w:sz w:val="22"/>
              </w:rPr>
            </w:pPr>
            <w:r>
              <w:rPr>
                <w:sz w:val="22"/>
              </w:rPr>
            </w:r>
          </w:p>
          <w:p>
            <w:pPr>
              <w:pStyle w:val="Normal"/>
              <w:rPr/>
            </w:pPr>
            <w:r>
              <w:rPr/>
            </w:r>
          </w:p>
        </w:tc>
        <w:tc>
          <w:tcPr>
            <w:tcW w:w="804" w:type="dxa"/>
            <w:tcBorders/>
          </w:tcPr>
          <w:p>
            <w:pPr>
              <w:pStyle w:val="Normal"/>
              <w:rPr>
                <w:b/>
                <w:sz w:val="22"/>
                <w:u w:val="single"/>
              </w:rPr>
            </w:pPr>
            <w:r>
              <w:rPr>
                <w:b/>
                <w:sz w:val="22"/>
                <w:u w:val="single"/>
              </w:rPr>
              <w:t>Party A</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810"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sz w:val="22"/>
                <w:u w:val="single"/>
              </w:rPr>
            </w:pPr>
            <w:r>
              <w:rPr>
                <w:b/>
                <w:sz w:val="22"/>
                <w:u w:val="single"/>
              </w:rPr>
              <w:t>Party B</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1816"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rPr>
              <w:t>Valuation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u w:val="single"/>
              </w:rPr>
              <w:t>Percentage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rPr>
                <w:strike/>
                <w:sz w:val="22"/>
              </w:rPr>
            </w:pPr>
            <w:r>
              <w:rPr>
                <w:strike/>
                <w:sz w:val="22"/>
              </w:rPr>
            </w:r>
          </w:p>
        </w:tc>
      </w:tr>
    </w:tbl>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r>
        <w:br w:type="page"/>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sz w:val="22"/>
        </w:rPr>
        <w:tab/>
        <w:tab/>
        <w:t>(iii)</w:t>
        <w:tab/>
      </w:r>
      <w:r>
        <w:rPr>
          <w:b/>
          <w:sz w:val="22"/>
        </w:rPr>
        <w:t>Other Eligible Support.</w:t>
      </w:r>
      <w:r>
        <w:rPr>
          <w:sz w:val="22"/>
        </w:rPr>
        <w:t xml:space="preserve">  The following will qualify as </w:t>
      </w:r>
      <w:r>
        <w:rPr>
          <w:b/>
          <w:sz w:val="22"/>
        </w:rPr>
        <w:t>"Other Eligible Support"</w:t>
      </w:r>
      <w:r>
        <w:rPr>
          <w:sz w:val="22"/>
        </w:rPr>
        <w:t xml:space="preserve"> for </w:t>
        <w:tab/>
        <w:tab/>
        <w:tab/>
        <w:t>the party specified: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p>
    <w:tbl>
      <w:tblPr>
        <w:tblW w:w="7333" w:type="dxa"/>
        <w:jc w:val="start"/>
        <w:tblInd w:w="1440" w:type="dxa"/>
        <w:tblLayout w:type="fixed"/>
        <w:tblCellMar>
          <w:top w:w="0" w:type="dxa"/>
          <w:start w:w="0" w:type="dxa"/>
          <w:bottom w:w="0" w:type="dxa"/>
          <w:end w:w="0" w:type="dxa"/>
        </w:tblCellMar>
      </w:tblPr>
      <w:tblGrid>
        <w:gridCol w:w="1440"/>
        <w:gridCol w:w="35"/>
        <w:gridCol w:w="2410"/>
        <w:gridCol w:w="35"/>
        <w:gridCol w:w="790"/>
        <w:gridCol w:w="41"/>
        <w:gridCol w:w="679"/>
        <w:gridCol w:w="35"/>
        <w:gridCol w:w="1868"/>
      </w:tblGrid>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u w:val="single"/>
              </w:rPr>
            </w:pPr>
            <w:r>
              <w:rPr>
                <w:b/>
                <w:sz w:val="22"/>
                <w:u w:val="single"/>
              </w:rPr>
              <w:t xml:space="preserve">Party </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A</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Party B</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241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790" w:type="dxa"/>
            <w:tcBorders/>
          </w:tcPr>
          <w:p>
            <w:pPr>
              <w:pStyle w:val="Normal"/>
              <w:keepNext w:val="true"/>
              <w:keepLines/>
              <w:widowControl w:val="false"/>
              <w:tabs>
                <w:tab w:val="left" w:pos="-1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Letter of Credit, as</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defined in Paragraph</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13(j) below.</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2"/>
        </w:rPr>
      </w:pPr>
      <w:r>
        <w:rPr>
          <w:sz w:val="22"/>
        </w:rPr>
        <w:tab/>
        <w:t>100% of the Value of the Other Eligible Support unless a Letter of Credit Default shall apply with respect to such Letter of Credit in which case the Valuation Percentage shall be 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vanish/>
          <w:sz w:val="22"/>
        </w:rPr>
      </w:pPr>
      <w:r>
        <w:rPr>
          <w:vanish/>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jc w:val="both"/>
        <w:rPr>
          <w:vanish/>
          <w:sz w:val="22"/>
        </w:rPr>
      </w:pPr>
      <w:r>
        <w:rPr>
          <w:vanish/>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 xml:space="preserve"> </w:t>
      </w:r>
      <w:r>
        <w:rPr>
          <w:sz w:val="22"/>
        </w:rPr>
        <w:t>(iv)</w:t>
        <w:tab/>
      </w:r>
      <w:r>
        <w:rPr>
          <w:b/>
          <w:sz w:val="22"/>
        </w:rPr>
        <w:t>Thresholds.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"Independent Amount"</w:t>
      </w:r>
      <w:r>
        <w:rPr>
          <w:sz w:val="22"/>
        </w:rPr>
        <w:t xml:space="preserve"> means 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b/>
          <w:sz w:val="22"/>
        </w:rPr>
        <w:t>"Independent Amount"</w:t>
      </w:r>
      <w:r>
        <w:rPr>
          <w:sz w:val="22"/>
        </w:rPr>
        <w:t xml:space="preserve"> means 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(B)</w:t>
        <w:tab/>
        <w:t>“</w:t>
      </w:r>
      <w:r>
        <w:rPr>
          <w:b/>
          <w:sz w:val="22"/>
        </w:rPr>
        <w:t>Threshold”</w:t>
      </w:r>
      <w:r>
        <w:rPr>
          <w:sz w:val="22"/>
        </w:rPr>
        <w:t xml:space="preserve"> means for Party A the amount set forth below opposite the ratings classification assigned to the Credit Rating of Party A's unsecured, senior long-term debt or deposit obligations (not supported by third party credit enhancement). The Threshold will be based on the lower of the ratings from any Relevant Rating Agency, if such ratings are split.  If Party A is only rated by one Relevant Rating Agency, the Threshold will be based on the rating of that Relevant Rating Agency. If at any time a Material Adverse Change occurs or an Event of Default occurs with respect to a Party, the Threshold for such party shall be zero.  “Relevant Rating Agency” means Moody’s Investor Services, Inc.  (“Moody’s”), and Standard and Poor’s Ratings Group, a division of McGraw Hill, Inc. (“S&amp;P”), or any successor thereto.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ab/>
        <w:t>“</w:t>
      </w:r>
      <w:r>
        <w:rPr>
          <w:b/>
          <w:sz w:val="22"/>
        </w:rPr>
        <w:t>Threshold”</w:t>
      </w:r>
      <w:r>
        <w:rPr>
          <w:sz w:val="22"/>
        </w:rPr>
        <w:t xml:space="preserve"> means for Party B the amount set forth below opposite the ratings classification assigned to the Credit Rating of Party B's Credit Support Porvider’s  unsecured, senior long-term debt or deposit obligations (not supported by third party credit enhancement). The Threshold will be based on the lower of the ratings from any Relevant Rating Agency, if such ratings are split.  If Party B is only rated by one Relevant Rating Agency, the Threshold will be based on the rating of that Relevant Rating Agency. If at any time a Material Adverse Change occurs or an Event of Default occurs with respect to a Party, the Threshold for such party shall be zero.  “Relevant Rating Agency” means Moody’s Investor Services, Inc.  (“Moody’s”), and Standard and Poor’s Ratings Group, a division of McGraw Hill, Inc. (“S&amp;P”), or any successor thereto.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tbl>
      <w:tblPr>
        <w:tblW w:w="6030" w:type="dxa"/>
        <w:jc w:val="center"/>
        <w:tblInd w:w="0" w:type="dxa"/>
        <w:tblLayout w:type="fixed"/>
        <w:tblCellMar>
          <w:top w:w="0" w:type="dxa"/>
          <w:start w:w="108" w:type="dxa"/>
          <w:bottom w:w="0" w:type="dxa"/>
          <w:end w:w="108" w:type="dxa"/>
        </w:tblCellMar>
      </w:tblPr>
      <w:tblGrid>
        <w:gridCol w:w="2430"/>
        <w:gridCol w:w="2250"/>
        <w:gridCol w:w="1350"/>
      </w:tblGrid>
      <w:tr>
        <w:trPr/>
        <w:tc>
          <w:tcPr>
            <w:tcW w:w="4680" w:type="dxa"/>
            <w:gridSpan w:val="2"/>
            <w:tcBorders/>
          </w:tcPr>
          <w:p>
            <w:pPr>
              <w:pStyle w:val="Normal"/>
              <w:rPr>
                <w:b/>
                <w:kern w:val="2"/>
                <w:sz w:val="22"/>
              </w:rPr>
            </w:pPr>
            <w:r>
              <w:rPr>
                <w:b/>
                <w:kern w:val="2"/>
                <w:sz w:val="22"/>
              </w:rPr>
              <w:t>Credit Rating</w:t>
            </w:r>
          </w:p>
        </w:tc>
        <w:tc>
          <w:tcPr>
            <w:tcW w:w="1350" w:type="dxa"/>
            <w:tcBorders/>
            <w:tcMar>
              <w:start w:w="0" w:type="dxa"/>
              <w:end w:w="0" w:type="dxa"/>
            </w:tcMar>
          </w:tcPr>
          <w:p>
            <w:pPr>
              <w:pStyle w:val="Normal"/>
              <w:snapToGrid w:val="false"/>
              <w:rPr>
                <w:b/>
                <w:kern w:val="2"/>
                <w:sz w:val="22"/>
              </w:rPr>
            </w:pPr>
            <w:r>
              <w:rPr>
                <w:b/>
                <w:kern w:val="2"/>
                <w:sz w:val="22"/>
              </w:rPr>
            </w:r>
          </w:p>
        </w:tc>
      </w:tr>
      <w:tr>
        <w:trPr/>
        <w:tc>
          <w:tcPr>
            <w:tcW w:w="2430" w:type="dxa"/>
            <w:tcBorders/>
          </w:tcPr>
          <w:p>
            <w:pPr>
              <w:pStyle w:val="Normal"/>
              <w:snapToGrid w:val="false"/>
              <w:rPr>
                <w:b/>
                <w:sz w:val="22"/>
                <w:u w:val="single"/>
              </w:rPr>
            </w:pPr>
            <w:r>
              <w:rPr>
                <w:b/>
                <w:sz w:val="22"/>
                <w:u w:val="single"/>
              </w:rPr>
            </w:r>
          </w:p>
        </w:tc>
        <w:tc>
          <w:tcPr>
            <w:tcW w:w="2250" w:type="dxa"/>
            <w:tcBorders/>
          </w:tcPr>
          <w:p>
            <w:pPr>
              <w:pStyle w:val="Normal"/>
              <w:snapToGrid w:val="false"/>
              <w:rPr>
                <w:b/>
                <w:sz w:val="22"/>
                <w:u w:val="single"/>
              </w:rPr>
            </w:pPr>
            <w:r>
              <w:rPr>
                <w:b/>
                <w:sz w:val="22"/>
                <w:u w:val="single"/>
              </w:rPr>
            </w:r>
          </w:p>
        </w:tc>
        <w:tc>
          <w:tcPr>
            <w:tcW w:w="1350" w:type="dxa"/>
            <w:tcBorders/>
          </w:tcPr>
          <w:p>
            <w:pPr>
              <w:pStyle w:val="Normal"/>
              <w:snapToGrid w:val="false"/>
              <w:rPr>
                <w:b/>
                <w:sz w:val="22"/>
                <w:u w:val="single"/>
              </w:rPr>
            </w:pPr>
            <w:r>
              <w:rPr>
                <w:b/>
                <w:sz w:val="22"/>
                <w:u w:val="single"/>
              </w:rPr>
            </w:r>
          </w:p>
        </w:tc>
      </w:tr>
      <w:tr>
        <w:trPr/>
        <w:tc>
          <w:tcPr>
            <w:tcW w:w="2430" w:type="dxa"/>
            <w:tcBorders/>
          </w:tcPr>
          <w:p>
            <w:pPr>
              <w:pStyle w:val="Normal"/>
              <w:rPr>
                <w:b/>
                <w:sz w:val="22"/>
              </w:rPr>
            </w:pPr>
            <w:r>
              <w:rPr>
                <w:b/>
                <w:sz w:val="22"/>
                <w:u w:val="single"/>
              </w:rPr>
              <w:t>Threshold</w:t>
            </w:r>
          </w:p>
        </w:tc>
        <w:tc>
          <w:tcPr>
            <w:tcW w:w="2250" w:type="dxa"/>
            <w:tcBorders/>
          </w:tcPr>
          <w:p>
            <w:pPr>
              <w:pStyle w:val="Normal"/>
              <w:rPr>
                <w:b/>
                <w:sz w:val="22"/>
              </w:rPr>
            </w:pPr>
            <w:r>
              <w:rPr>
                <w:b/>
                <w:sz w:val="22"/>
                <w:u w:val="single"/>
              </w:rPr>
              <w:t>by S&amp;P</w:t>
            </w:r>
          </w:p>
        </w:tc>
        <w:tc>
          <w:tcPr>
            <w:tcW w:w="1350" w:type="dxa"/>
            <w:tcBorders/>
          </w:tcPr>
          <w:p>
            <w:pPr>
              <w:pStyle w:val="Normal"/>
              <w:rPr>
                <w:b/>
                <w:sz w:val="22"/>
              </w:rPr>
            </w:pPr>
            <w:r>
              <w:rPr>
                <w:b/>
                <w:sz w:val="22"/>
                <w:u w:val="single"/>
              </w:rPr>
              <w:t>By Moody's</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AA (or above)</w:t>
            </w:r>
          </w:p>
        </w:tc>
        <w:tc>
          <w:tcPr>
            <w:tcW w:w="1350" w:type="dxa"/>
            <w:tcBorders/>
          </w:tcPr>
          <w:p>
            <w:pPr>
              <w:pStyle w:val="Normal"/>
              <w:rPr>
                <w:b/>
                <w:sz w:val="22"/>
              </w:rPr>
            </w:pPr>
            <w:r>
              <w:rPr>
                <w:b/>
                <w:sz w:val="22"/>
              </w:rPr>
              <w:t>Aa2 (or above)</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AA-</w:t>
            </w:r>
          </w:p>
        </w:tc>
        <w:tc>
          <w:tcPr>
            <w:tcW w:w="1350" w:type="dxa"/>
            <w:tcBorders/>
          </w:tcPr>
          <w:p>
            <w:pPr>
              <w:pStyle w:val="Normal"/>
              <w:rPr>
                <w:b/>
                <w:sz w:val="22"/>
              </w:rPr>
            </w:pPr>
            <w:r>
              <w:rPr>
                <w:b/>
                <w:sz w:val="22"/>
              </w:rPr>
              <w:t>Aa3</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A+</w:t>
            </w:r>
          </w:p>
        </w:tc>
        <w:tc>
          <w:tcPr>
            <w:tcW w:w="1350" w:type="dxa"/>
            <w:tcBorders/>
          </w:tcPr>
          <w:p>
            <w:pPr>
              <w:pStyle w:val="Normal"/>
              <w:rPr>
                <w:b/>
                <w:sz w:val="22"/>
              </w:rPr>
            </w:pPr>
            <w:r>
              <w:rPr>
                <w:b/>
                <w:sz w:val="22"/>
              </w:rPr>
              <w:t>A1</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A</w:t>
            </w:r>
          </w:p>
        </w:tc>
        <w:tc>
          <w:tcPr>
            <w:tcW w:w="1350" w:type="dxa"/>
            <w:tcBorders/>
          </w:tcPr>
          <w:p>
            <w:pPr>
              <w:pStyle w:val="Normal"/>
              <w:rPr>
                <w:b/>
                <w:sz w:val="22"/>
              </w:rPr>
            </w:pPr>
            <w:r>
              <w:rPr>
                <w:b/>
                <w:sz w:val="22"/>
              </w:rPr>
              <w:t>A2</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A-</w:t>
            </w:r>
          </w:p>
        </w:tc>
        <w:tc>
          <w:tcPr>
            <w:tcW w:w="1350" w:type="dxa"/>
            <w:tcBorders/>
          </w:tcPr>
          <w:p>
            <w:pPr>
              <w:pStyle w:val="Normal"/>
              <w:rPr>
                <w:b/>
                <w:sz w:val="22"/>
              </w:rPr>
            </w:pPr>
            <w:r>
              <w:rPr>
                <w:b/>
                <w:sz w:val="22"/>
              </w:rPr>
              <w:t>A3</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BBB+</w:t>
            </w:r>
          </w:p>
        </w:tc>
        <w:tc>
          <w:tcPr>
            <w:tcW w:w="1350" w:type="dxa"/>
            <w:tcBorders/>
          </w:tcPr>
          <w:p>
            <w:pPr>
              <w:pStyle w:val="Normal"/>
              <w:rPr>
                <w:b/>
                <w:sz w:val="22"/>
              </w:rPr>
            </w:pPr>
            <w:r>
              <w:rPr>
                <w:b/>
                <w:sz w:val="22"/>
              </w:rPr>
              <w:t>Baa1</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BBB</w:t>
            </w:r>
          </w:p>
        </w:tc>
        <w:tc>
          <w:tcPr>
            <w:tcW w:w="1350" w:type="dxa"/>
            <w:tcBorders/>
          </w:tcPr>
          <w:p>
            <w:pPr>
              <w:pStyle w:val="Normal"/>
              <w:rPr>
                <w:b/>
                <w:sz w:val="22"/>
              </w:rPr>
            </w:pPr>
            <w:r>
              <w:rPr>
                <w:b/>
                <w:sz w:val="22"/>
              </w:rPr>
              <w:t>Baa2</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BBB-</w:t>
            </w:r>
          </w:p>
        </w:tc>
        <w:tc>
          <w:tcPr>
            <w:tcW w:w="1350" w:type="dxa"/>
            <w:tcBorders/>
          </w:tcPr>
          <w:p>
            <w:pPr>
              <w:pStyle w:val="Normal"/>
              <w:rPr>
                <w:b/>
                <w:sz w:val="22"/>
              </w:rPr>
            </w:pPr>
            <w:r>
              <w:rPr>
                <w:b/>
                <w:sz w:val="22"/>
              </w:rPr>
              <w:t>Baa3</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BB+</w:t>
            </w:r>
          </w:p>
        </w:tc>
        <w:tc>
          <w:tcPr>
            <w:tcW w:w="1350" w:type="dxa"/>
            <w:tcBorders/>
          </w:tcPr>
          <w:p>
            <w:pPr>
              <w:pStyle w:val="Normal"/>
              <w:rPr>
                <w:b/>
                <w:sz w:val="22"/>
              </w:rPr>
            </w:pPr>
            <w:r>
              <w:rPr>
                <w:b/>
                <w:sz w:val="22"/>
              </w:rPr>
              <w:t>Ba1</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 xml:space="preserve">BB </w:t>
            </w:r>
          </w:p>
        </w:tc>
        <w:tc>
          <w:tcPr>
            <w:tcW w:w="1350" w:type="dxa"/>
            <w:tcBorders/>
          </w:tcPr>
          <w:p>
            <w:pPr>
              <w:pStyle w:val="Normal"/>
              <w:rPr>
                <w:b/>
                <w:sz w:val="22"/>
              </w:rPr>
            </w:pPr>
            <w:r>
              <w:rPr>
                <w:b/>
                <w:sz w:val="22"/>
              </w:rPr>
              <w:t>Ba2</w:t>
            </w:r>
          </w:p>
        </w:tc>
      </w:tr>
      <w:tr>
        <w:trPr/>
        <w:tc>
          <w:tcPr>
            <w:tcW w:w="2430" w:type="dxa"/>
            <w:tcBorders/>
          </w:tcPr>
          <w:p>
            <w:pPr>
              <w:pStyle w:val="Normal"/>
              <w:snapToGrid w:val="false"/>
              <w:rPr>
                <w:b/>
                <w:sz w:val="22"/>
              </w:rPr>
            </w:pPr>
            <w:r>
              <w:rPr>
                <w:b/>
                <w:sz w:val="22"/>
              </w:rPr>
            </w:r>
          </w:p>
        </w:tc>
        <w:tc>
          <w:tcPr>
            <w:tcW w:w="2250" w:type="dxa"/>
            <w:tcBorders/>
          </w:tcPr>
          <w:p>
            <w:pPr>
              <w:pStyle w:val="Normal"/>
              <w:rPr>
                <w:b/>
                <w:sz w:val="22"/>
              </w:rPr>
            </w:pPr>
            <w:r>
              <w:rPr>
                <w:b/>
                <w:sz w:val="22"/>
              </w:rPr>
              <w:t>BB- (or below)</w:t>
            </w:r>
          </w:p>
        </w:tc>
        <w:tc>
          <w:tcPr>
            <w:tcW w:w="1350" w:type="dxa"/>
            <w:tcBorders/>
          </w:tcPr>
          <w:p>
            <w:pPr>
              <w:pStyle w:val="Normal"/>
              <w:rPr>
                <w:b/>
                <w:sz w:val="22"/>
              </w:rPr>
            </w:pPr>
            <w:r>
              <w:rPr>
                <w:b/>
                <w:sz w:val="22"/>
              </w:rPr>
              <w:t>Ba3 (or below)</w:t>
            </w:r>
          </w:p>
        </w:tc>
      </w:tr>
    </w:tbl>
    <w:p>
      <w:pPr>
        <w:pStyle w:val="Normal"/>
        <w:tabs>
          <w:tab w:val="clear" w:pos="720"/>
          <w:tab w:val="left" w:pos="540" w:leader="none"/>
          <w:tab w:val="left" w:pos="1620" w:leader="none"/>
        </w:tabs>
        <w:jc w:val="both"/>
        <w:rPr>
          <w:color w:val="0000FF"/>
          <w:sz w:val="22"/>
        </w:rPr>
      </w:pPr>
      <w:r>
        <w:rPr>
          <w:color w:val="0000FF"/>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FF"/>
          <w:sz w:val="22"/>
        </w:rPr>
      </w:pPr>
      <w:r>
        <w:rPr>
          <w:color w:val="0000FF"/>
          <w:sz w:val="22"/>
        </w:rPr>
      </w:r>
    </w:p>
    <w:p>
      <w:pPr>
        <w:pStyle w:val="Normal"/>
        <w:widowControl w:val="false"/>
        <w:numPr>
          <w:ilvl w:val="0"/>
          <w:numId w:val="4"/>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2"/>
        </w:rPr>
      </w:pPr>
      <w:r>
        <w:rPr>
          <w:b/>
          <w:sz w:val="22"/>
        </w:rPr>
        <w:t>"Minimum Transfer Amount"</w:t>
      </w:r>
      <w:r>
        <w:rPr>
          <w:sz w:val="22"/>
        </w:rPr>
        <w:t xml:space="preserve"> means with respect to Party A: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b/>
          <w:sz w:val="22"/>
        </w:rPr>
        <w:tab/>
        <w:t xml:space="preserve">“Minimum Transfer Amount” </w:t>
      </w:r>
      <w:r>
        <w:rPr>
          <w:sz w:val="22"/>
        </w:rPr>
        <w:t>means with respect to Party B: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(D)</w:t>
        <w:tab/>
      </w:r>
      <w:r>
        <w:rPr>
          <w:b/>
          <w:sz w:val="22"/>
        </w:rPr>
        <w:t>"Rounding” The</w:t>
      </w:r>
      <w:r>
        <w:rPr>
          <w:sz w:val="22"/>
        </w:rPr>
        <w:t xml:space="preserve"> Delivery Amount will be rounded up to the nearest integral multiple of $ 100,000.00 and the Return Amount will be rounded down to the nearest integral multiple of $ 100,000.00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Valuation and Timing.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"Valuation Agent"</w:t>
      </w:r>
      <w:r>
        <w:rPr>
          <w:sz w:val="22"/>
        </w:rPr>
        <w:t xml:space="preserve"> means, for purposes of Paragraphs 3 and 5, the party making the demand under Paragraph 3, and for the purposes of Paragraph 6(d), the Secured Party receiving or deemed to receive the Distributions or the Interest Amount, as applicable; provided, however, that in all cases, if an Event of Default has occurred and is continuing with respect to the party designated as the Valuation Agent, then, in such case, and for so long as the Event of Default continues, the Non-defaulting Party (either Party A or Party B) will be the Valuation Agent.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(ii)</w:t>
        <w:tab/>
      </w:r>
      <w:r>
        <w:rPr>
          <w:b/>
          <w:sz w:val="22"/>
        </w:rPr>
        <w:t>"Valuation Date"</w:t>
      </w:r>
      <w:r>
        <w:rPr>
          <w:sz w:val="22"/>
        </w:rPr>
        <w:t xml:space="preserve"> means any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(iii)</w:t>
        <w:tab/>
      </w:r>
      <w:r>
        <w:rPr>
          <w:b/>
          <w:sz w:val="22"/>
        </w:rPr>
        <w:t>"Valuation Time"</w:t>
      </w:r>
      <w:r>
        <w:rPr>
          <w:sz w:val="22"/>
        </w:rPr>
        <w:t xml:space="preserve"> means the close of business on the Local Business Day before the Valuation Date of calculation, as applicable; </w:t>
      </w:r>
      <w:r>
        <w:rPr>
          <w:b/>
          <w:sz w:val="22"/>
        </w:rPr>
        <w:t>provided,</w:t>
      </w:r>
      <w:r>
        <w:rPr>
          <w:sz w:val="22"/>
        </w:rPr>
        <w:t xml:space="preserve"> that the calculations of Value and Exposure will be made as of approximately the same time on the same date.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(iv)</w:t>
        <w:tab/>
      </w:r>
      <w:r>
        <w:rPr>
          <w:b/>
          <w:sz w:val="22"/>
        </w:rPr>
        <w:t>"Notification Time"</w:t>
      </w:r>
      <w:r>
        <w:rPr>
          <w:sz w:val="22"/>
        </w:rPr>
        <w:t xml:space="preserve"> means 1:00 p.m., New York time, on a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 xml:space="preserve">Conditions Precedent and Secured Party's Rights and Remedies.  </w:t>
      </w:r>
      <w:r>
        <w:rPr>
          <w:sz w:val="22"/>
        </w:rPr>
        <w:t>The following Termination Event (s) will be a “</w:t>
      </w:r>
      <w:r>
        <w:rPr>
          <w:b/>
          <w:sz w:val="22"/>
        </w:rPr>
        <w:t>Specified Condition”</w:t>
      </w:r>
      <w:r>
        <w:rPr>
          <w:sz w:val="22"/>
        </w:rPr>
        <w:t xml:space="preserve"> for the party specified (that party being the Affected Party if the Termination Agent occurs with respect to that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b/>
        <w:tab/>
        <w:tab/>
        <w:tab/>
        <w:tab/>
        <w:tab/>
        <w:tab/>
        <w:tab/>
        <w:tab/>
        <w:t>Party A</w:t>
        <w:tab/>
        <w:t>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b/>
        <w:tab/>
        <w:tab/>
      </w:r>
      <w:r>
        <w:rPr>
          <w:sz w:val="22"/>
        </w:rPr>
        <w:t>Illegality</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 Upon Merger</w:t>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Credit Event Upon Merger</w:t>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Additional Termination Events (if any)</w:t>
        <w:tab/>
        <w:tab/>
        <w:t xml:space="preserve">[x] </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(e)</w:t>
        <w:tab/>
      </w:r>
      <w:r>
        <w:rPr>
          <w:b/>
          <w:sz w:val="22"/>
        </w:rPr>
        <w:t>Substitution.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"Substitution Date"</w:t>
      </w:r>
      <w:r>
        <w:rPr>
          <w:sz w:val="22"/>
        </w:rPr>
        <w:t xml:space="preserve"> has the meaning specified in Paragraph 4(d)(ii).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"Consent"</w:t>
      </w:r>
      <w:r>
        <w:rPr>
          <w:sz w:val="22"/>
        </w:rPr>
        <w:t xml:space="preserve"> Applicable.  The Pledgor must obtain the Secured Party’s consent for any substitution pursuant to Paragraph 4(d).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(f)</w:t>
        <w:tab/>
      </w:r>
      <w:r>
        <w:rPr>
          <w:b/>
          <w:sz w:val="22"/>
        </w:rPr>
        <w:t>Dispute Resolution.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"Resolution Time"</w:t>
      </w:r>
      <w:r>
        <w:rPr>
          <w:sz w:val="22"/>
        </w:rPr>
        <w:t xml:space="preserve"> means 1:00 p.m., New York time, on the Local Business Day following the date on which the notice is given that gives rise to a dispute under Paragraph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"Value"</w:t>
      </w:r>
      <w:r>
        <w:rPr>
          <w:sz w:val="22"/>
        </w:rPr>
        <w:t xml:space="preserve"> For the purpose of Paragraph 5(i)(C) and 5(ii), the Value of Posted Credit Support will be calculated as follows: (i) in the case of cash, the face amount thereof; and (ii) in the case of any securities agreed as Other Eligible Support, the Valuation Agent shall seek three (3) mid-market quotes as of the relevant Valuation Date or date of Transfer from parties that regularly act as dealers in the securities or other property in question.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2"/>
        </w:rPr>
        <w:t>(iii)</w:t>
        <w:tab/>
      </w:r>
      <w:r>
        <w:rPr>
          <w:b/>
          <w:sz w:val="22"/>
        </w:rPr>
        <w:t xml:space="preserve">“Alternative”. </w:t>
      </w:r>
      <w:r>
        <w:rPr>
          <w:sz w:val="22"/>
        </w:rPr>
        <w:t>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(g)</w:t>
        <w:tab/>
      </w:r>
      <w:r>
        <w:rPr>
          <w:b/>
          <w:sz w:val="22"/>
        </w:rPr>
        <w:t>Holding and Using Posted Collateral.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2"/>
        </w:rPr>
        <w:tab/>
        <w:t>(i)</w:t>
        <w:tab/>
      </w:r>
      <w:r>
        <w:rPr>
          <w:b/>
          <w:sz w:val="22"/>
        </w:rPr>
        <w:t xml:space="preserve">Eligibility to Hold Posted Collateral.  </w:t>
      </w:r>
      <w:r>
        <w:rPr>
          <w:sz w:val="22"/>
        </w:rPr>
        <w:t xml:space="preserve">Party A will be entitled to hold Posted Collateral pursuant to Paragraph 6(b); </w:t>
      </w:r>
      <w:r>
        <w:rPr>
          <w:b/>
          <w:sz w:val="22"/>
          <w:u w:val="single"/>
        </w:rPr>
        <w:t>provided</w:t>
      </w:r>
      <w:r>
        <w:rPr>
          <w:sz w:val="22"/>
        </w:rPr>
        <w:t xml:space="preserve"> that the following conditions applicable to it are satisfied:</w:t>
      </w:r>
    </w:p>
    <w:p>
      <w:pPr>
        <w:pStyle w:val="Normal"/>
        <w:widowControl w:val="false"/>
        <w:tabs>
          <w:tab w:val="clear" w:pos="720"/>
          <w:tab w:val="right" w:pos="9360" w:leader="none"/>
        </w:tabs>
        <w:jc w:val="both"/>
        <w:rPr>
          <w:sz w:val="22"/>
        </w:rPr>
      </w:pPr>
      <w:r>
        <w:rPr>
          <w:sz w:val="22"/>
        </w:rPr>
      </w:r>
    </w:p>
    <w:p>
      <w:pPr>
        <w:pStyle w:val="Normal"/>
        <w:widowControl w:val="false"/>
        <w:numPr>
          <w:ilvl w:val="0"/>
          <w:numId w:val="7"/>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Party A, as Secured Party, is not a Defaulting Party and a Material Adverse change has not occurred with respect to Party A as well as any Credit Support Provider of Party 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numPr>
          <w:ilvl w:val="0"/>
          <w:numId w:val="7"/>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Posted Collateral may be held only in the United States of America.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sz w:val="22"/>
        </w:rPr>
      </w:pPr>
      <w:r>
        <w:rPr>
          <w:sz w:val="22"/>
        </w:rPr>
        <w:t xml:space="preserve">Party B will be entitled to hold Posted Collateral pursuant to Paragraph 6(b); </w:t>
      </w:r>
      <w:r>
        <w:rPr>
          <w:b/>
          <w:sz w:val="22"/>
          <w:u w:val="single"/>
        </w:rPr>
        <w:t>provided</w:t>
      </w:r>
      <w:r>
        <w:rPr>
          <w:sz w:val="22"/>
        </w:rPr>
        <w:t xml:space="preserve"> that the following conditions applicable to it are satisfied: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numPr>
          <w:ilvl w:val="0"/>
          <w:numId w:val="11"/>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Party B, as Secured Party, is not a Defaulting Party and a Material Adverse Change has not occurred with respect to Party B as well as any Credit Support Provider of 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ab/>
        <w:t>(2)</w:t>
        <w:tab/>
        <w:t>Posted Collateral may be held only in the United States of America.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"Use of Posted Collateral”.</w:t>
      </w:r>
      <w:r>
        <w:rPr>
          <w:sz w:val="22"/>
        </w:rPr>
        <w:t xml:space="preserve"> The provisions of Paragraph 6(c) will not apply to either Party and the Parties will not be permitted to use the Posted Collateral in the manner described in Paragraph 6(c)(i); provided, that either Party which is entitled to hold Posted Collateral will be permitted to use cash collateral in the manner specified in Paragraph 6(c)(i).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(h)</w:t>
        <w:tab/>
      </w:r>
      <w:r>
        <w:rPr>
          <w:b/>
          <w:sz w:val="22"/>
        </w:rPr>
        <w:t>Distributions and Interest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32"/>
        </w:rPr>
      </w:pPr>
      <w:r>
        <w:rPr>
          <w:b/>
          <w:sz w:val="3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"Interest Rate"</w:t>
      </w:r>
      <w:r>
        <w:rPr>
          <w:sz w:val="22"/>
        </w:rPr>
        <w:t>. The Interest Rate will be at a rate per annum equal to the one-month London Interbank Offered Rate (LIBOR).  Such interest shall be calculated commencing on the date such Collateral is received by the Secured Party but excluding the earlier of (i) the date such Collateral is returned to Pledgor pursuant to Paragraph 4 hereof or (ii) the date such Collateral is applied to Pledgor's Obligations pursuant to Paragraph 8 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"Transfer of Interest Amount".</w:t>
      </w:r>
      <w:r>
        <w:rPr>
          <w:sz w:val="22"/>
        </w:rPr>
        <w:t xml:space="preserve"> The Transfer of the Interest Amount will be made on the second Local Business Day following each calendar month upon receipt of an invoice.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"Alternative to Interest Amount"</w:t>
      </w:r>
      <w:r>
        <w:rPr>
          <w:sz w:val="22"/>
        </w:rPr>
        <w:t xml:space="preserve"> The provisions of Paragraph 6(d)(ii) will apply.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9"/>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Additional Representation(s).</w:t>
      </w:r>
      <w:r>
        <w:rPr>
          <w:sz w:val="22"/>
        </w:rPr>
        <w:t xml:space="preserve">  Not 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(j)</w:t>
        <w:tab/>
      </w:r>
      <w:r>
        <w:rPr>
          <w:b/>
          <w:sz w:val="22"/>
        </w:rPr>
        <w:t>Other Eligible Support and Other Posted Support.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"Value"</w:t>
      </w:r>
      <w:r>
        <w:rPr>
          <w:sz w:val="22"/>
        </w:rPr>
        <w:t xml:space="preserve"> with respect to Other Eligible Support and Other Posted Support means the stated amount (undrawn portion) of any Letter of Credit maintained by the Pledgor (or its Credit Support Provider) for the benefit of the Secured Party.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"Transfer"</w:t>
      </w:r>
      <w:r>
        <w:rPr>
          <w:sz w:val="22"/>
        </w:rPr>
        <w:t xml:space="preserve"> with respect to Other Eligible Support and Other Posted means: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t>For purposes of Paragraph 3(a), delivery of the Letter of Credit by the Pledgor or issuer of the Letter of Credit to the Secured Party at the address of the Secured Party</w:t>
      </w:r>
      <w:r>
        <w:rPr>
          <w:sz w:val="22"/>
          <w:u w:val="single"/>
        </w:rPr>
        <w:t xml:space="preserve"> </w:t>
      </w:r>
      <w:r>
        <w:rPr>
          <w:sz w:val="22"/>
        </w:rPr>
        <w:t>specified in the Notices Section of this Agreement, or delivery of an executed amendment to such Letter of Credit (extending the term or increasing the amount available to the Secured Party thereunder) by the Pledgor or the issuer of the Letter of Credit to the Secured Party at address of the Secured Party specified in the Notices Section of this Agreement; and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(2)</w:t>
        <w:tab/>
        <w:t>For purposes of Paragraph 3(b), by the return of an outstanding 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(iii)</w:t>
        <w:tab/>
      </w:r>
      <w:r>
        <w:rPr>
          <w:b/>
          <w:sz w:val="22"/>
        </w:rPr>
        <w:t>Letter of Credit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Other Eligible Support provided in the form of a Letter of Credit shall be subject to the following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(1)</w:t>
        <w:tab/>
        <w:t>Unless otherwise agreed in writing by the parties, each Letter of Credit shall be provided in accordance with the provisions of this Annex, and each Letter of Credit shall be maintained for the benefit of the Secured Party.  The Pledgor shall:  (i) renew or cause the renewal of each outstanding Letter of Credit on a timely basis as provided in the relevant Letter of Credit; and (ii) if the Qualified Institution that issued an outstanding Letter of Credit has indicated its intent not to renew such Letter of Credit (or provide a substitute Letter of Credit) at least thirty (30) Business Days prior to the expiration of the outstanding Letter of Credit; or (iii) if a Qualified Institution issuing a Letter of Credit shall fail to honor the Secured Party's properly documented request to draw on an outstanding Letter of Credit, the Pledgor shall provide for the benefit of the Secured Party:  (x) a substitute Letter of Credit, that is issued by a Qualified Institution acceptable to the Secured Party, other than the Qualified Institution failing to honor the outstanding Letter of Credit; or (y) post Eligible Collateral, in each case within one (1) Business Day after the Pledgor receives notice of such refusal, provided that, as a result of the Pledgor's failure to perform in accordance with (i), (ii), or (iii) above, the Delivery Amount applicable to the Pledgor equals or exceeds the Pledgor's Minimum Transfer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(2)</w:t>
        <w:tab/>
        <w:t>As one method of providing Eligible Credit Support, the Pledgor may increase the amount of an outstanding Letter of Credit or establish one or more additional Letters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(3)</w:t>
        <w:tab/>
        <w:t>(i)</w:t>
        <w:tab/>
        <w:t xml:space="preserve"> A Letter of Credit shall provide that the Secured Party may draw upon the Letter of Credit in an amount (up to the face amount for which the Letter of Credit has been issued) that is equal to all amounts that are due and owing from the Pledgor, but have not been paid to the Secured Party within the time allowed for such payments under this Agreement (including any related notice or grace period or both).   A Letter of Credit shall provide that a drawing be made on the Letter of Credit upon submission to the Qualified Institution issuing the Letter of Credit of one or more certificates specifying the amounts due and owing to the Secured Party in accordance with the specific requirements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sz w:val="22"/>
        </w:rPr>
      </w:pPr>
      <w:r>
        <w:rPr>
          <w:sz w:val="22"/>
        </w:rPr>
        <w:t>(ii)</w:t>
        <w:tab/>
        <w:t>If the Pledgor shall fail to renew, substitute, or sufficiently increase the amount of an outstanding Letter of Credit (as the case may be), or establish one or more additional Letters of Credit, or otherwise provide sufficient Eligible Credit Support and if the Delivery Amount applicable to the Pledgor equals or exceeds the Pledgor's Minimum Transfer Amount as a result of such failure, then the Secured Party may draw on the entire, undrawn portion of any outstanding Letter of Credit upon submission to the Qualified Institution issuing such Letter of Credit of one or more certificates specifying the amounts due and owing to the Secured Party in accordance with the specific requirements of the Letter of Credit.  The Pledgor shall remain liable for any amounts due and owing to the Secured Party and remaining unpaid after the application of the amounts so drawn by the Secured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(4)</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(5)</w:t>
        <w:tab/>
        <w:t>Upon the occurrence of a Letter of Credit Default, the Pledgor agrees to deliver a substitute Letter of Credit or other Eligible Credit Support to the Secured Party in an amount at least equal to that of the Letter of Credit to be replaced on or before the first (1st) Business Day after written demand by the Secured Party (or the third (3rd) Business Day if only clause (i) under the definition of Letter of Credit Default applies).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(6)</w:t>
        <w:tab/>
        <w:t>Notwithstanding Paragraph 10, in all cases, the costs and expenses (including but limited to the reasonable costs, expenses, and external attorneys’ fees to the Secured Party) of establishing, renewing, substituting, canceling, increasing, and reducing the amount of (as the case may be) one or more Letters of Credit shall be borne by the Pledgor.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(iv)</w:t>
        <w:tab/>
      </w:r>
      <w:r>
        <w:rPr>
          <w:b/>
          <w:sz w:val="22"/>
        </w:rPr>
        <w:t>Certain Rights and Remedies.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r>
      <w:r>
        <w:rPr>
          <w:b/>
          <w:sz w:val="22"/>
        </w:rPr>
        <w:t>"Secured Party Rights and Remedies” For</w:t>
      </w:r>
      <w:r>
        <w:rPr>
          <w:sz w:val="22"/>
        </w:rPr>
        <w:t xml:space="preserve"> purposes of paragraph 8 (a)(ii), the Secured Party may draw on any outstanding Letter of Credit in an amount equal to any amounts payable by the Pledgor with respect to any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(2)</w:t>
        <w:tab/>
      </w:r>
      <w:r>
        <w:rPr>
          <w:b/>
          <w:sz w:val="22"/>
        </w:rPr>
        <w:t xml:space="preserve">"Pledgor Rights and Remedies" </w:t>
      </w:r>
      <w:r>
        <w:rPr>
          <w:sz w:val="22"/>
        </w:rPr>
        <w:t>For purposes of Paragraph 8 (b)(ii), (i) the Secured Party will be obligated immediately to Transfer any Letter of Credit to the Pledgor and (ii) the Pledgor may do any one or more of the following: (x) to the extent that the Letter of Credit is not Transferred to the Pledgor as required pursuant to (i) above, Set-off any amounts payable by the Pledgor with respect to any Obligations against any such Letter of Credit held by the Secured Party and to the extent its rights to Set-off are not exercised, withhold payment of any remaining amounts payable by the Pledgor with  respect to any Obligations, up to the Value of any remaining Posted Collateral and the Value of any Letter of Credit held by the Secured Party, until any such Posted Collateral and such Letter of Credit is Transferred to the Pledgor; and (y) exercise rights and remedies available to the Pledgor under the terms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sz w:val="24"/>
        </w:rPr>
        <w:t>Additional Definitions.</w:t>
      </w:r>
      <w:r>
        <w:rPr>
          <w:sz w:val="24"/>
        </w:rPr>
        <w:t xml:space="preserve">  As used in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sz w:val="24"/>
        </w:rPr>
        <w:t>“</w:t>
      </w:r>
      <w:r>
        <w:rPr>
          <w:b/>
          <w:sz w:val="24"/>
        </w:rPr>
        <w:t xml:space="preserve">Credit Rating” </w:t>
      </w:r>
      <w:r>
        <w:rPr>
          <w:sz w:val="24"/>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or Moody’s.</w:t>
      </w:r>
    </w:p>
    <w:p>
      <w:pPr>
        <w:pStyle w:val="Normal"/>
        <w:widowControl w:val="false"/>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sz w:val="24"/>
        </w:rPr>
        <w:t>“</w:t>
      </w:r>
      <w:r>
        <w:rPr>
          <w:b/>
          <w:sz w:val="24"/>
        </w:rPr>
        <w:t xml:space="preserve">Funded Debt” </w:t>
      </w:r>
      <w:r>
        <w:rPr>
          <w:sz w:val="24"/>
        </w:rPr>
        <w:t xml:space="preserve">means indebtedness of Party’s B’s Credit Support Provider which by its terms matures more than one year from the date as of which any calculation of Funded Debt is made. </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4"/>
        </w:rPr>
        <w:t>“</w:t>
      </w:r>
      <w:r>
        <w:rPr>
          <w:b/>
          <w:sz w:val="24"/>
        </w:rPr>
        <w:t xml:space="preserve">GAAP” </w:t>
      </w:r>
      <w:r>
        <w:rPr>
          <w:sz w:val="24"/>
        </w:rPr>
        <w:t>shall mean generally accepted accounting principals, consistently applied, in the United States.</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w:t>
      </w:r>
      <w:r>
        <w:rPr>
          <w:sz w:val="22"/>
        </w:rPr>
        <w:t xml:space="preserve"> shall mean an irrevocable and non-transferable letter of credit, issued by a Qualified Institution acceptable to the secured party, and acceptable in both form and substance to both the Qualified Institution and to the secured party in whose favor the letter of credit is issued.</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 Default"</w:t>
      </w:r>
      <w:r>
        <w:rPr>
          <w:sz w:val="22"/>
        </w:rPr>
        <w:t xml:space="preserve"> shall mean with respect to an outstanding Letter of Credit, the occurrence of any of the following events (i) the issuer of such Letter of Credit shall fail to maintain a Credit Rating of a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of reject, in whole or in part, or challenge the validity of, such Letter of Credit; (iv) such Letter of Credit shall expire or terminate, or shall fail or cease to be in full force and effect at any time during the term of any outstanding Transaction; (v) any event analogous to an event specified in Section 5 (a) (vii) of this Agreement shall occur with respect to the issuer of such Letter of Credit; or (vi) the Pledgor or the issuer of the Letter of Credit shall fail to cause the renewal or replacement Letter of Credit to the Secured Party at the address specified in the Agreement at least thirty (30) days prior to the expiration of such Letter of Credit; </w:t>
      </w:r>
      <w:r>
        <w:rPr>
          <w:sz w:val="22"/>
          <w:u w:val="single"/>
        </w:rPr>
        <w:t>provided</w:t>
      </w:r>
      <w:r>
        <w:rPr>
          <w:sz w:val="22"/>
        </w:rPr>
        <w:t xml:space="preserve">, </w:t>
      </w:r>
      <w:r>
        <w:rPr>
          <w:sz w:val="22"/>
          <w:u w:val="single"/>
        </w:rPr>
        <w:t>however</w:t>
      </w:r>
      <w:r>
        <w:rPr>
          <w:sz w:val="22"/>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Material Adverse Change” </w:t>
      </w:r>
      <w:r>
        <w:rPr>
          <w:sz w:val="22"/>
        </w:rPr>
        <w:t>means the Credit Rating of Party A or Party B, as well as any party’s Credit Support Provider, is below “_____” by S&amp;P or “______” by Moody’s.</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Moody’s” </w:t>
      </w:r>
      <w:r>
        <w:rPr>
          <w:sz w:val="22"/>
        </w:rPr>
        <w:t>means Moody’s Investor Services.</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Qualified Institution” </w:t>
      </w:r>
      <w:r>
        <w:rPr>
          <w:sz w:val="22"/>
        </w:rPr>
        <w:t xml:space="preserve">shall mean a major U.S. commercial bank, or a foreign bank with a U.S. branch office, which is not the Pledgor (or a subsidiary or affiliate of the Pledgor), which has a Credit Rating of at least “A-“ by S&amp;P, or “A3” by Moody’s, and which has assets of at least $10 billion dollars. </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S&amp;P”</w:t>
      </w:r>
      <w:r>
        <w:rPr>
          <w:sz w:val="22"/>
        </w:rPr>
        <w:t xml:space="preserve"> means Standard &amp; Poors, a division of the McGraw-Hill Companies.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Demands and Notices.</w:t>
      </w:r>
      <w:r>
        <w:rPr>
          <w:sz w:val="22"/>
        </w:rPr>
        <w:t xml:space="preserve"> All demands, specifications, and notices under this Annex will be made pursuant to the Notices Section of this Agreement.</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 xml:space="preserve">Other Provisions. </w:t>
      </w:r>
      <w:r>
        <w:rPr>
          <w:sz w:val="22"/>
        </w:rPr>
        <w:t>This Credit Support Annex is a Security Agreement under the Uniform Commercial Code (U.C.C.) of the State of New York.</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2"/>
        </w:rPr>
      </w:pPr>
      <w:r>
        <w:rPr>
          <w:b/>
          <w:color w:val="000000"/>
          <w:sz w:val="22"/>
        </w:rPr>
        <w:t>Set off.</w:t>
      </w:r>
      <w:r>
        <w:rPr>
          <w:color w:val="000000"/>
          <w:sz w:val="22"/>
        </w:rPr>
        <w:t xml:space="preserve">  For purposes of Paragraphs 2 and 8(a)(iii) of this Annex, the reference to any amount payable under Section 6 of this Agreement in the definition of “Set-off” in this Agreement shall be deemed a reference to any amount payable with respect to any Obligation, as described in Paragraph 8(a)(iii) of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sz w:val="22"/>
        </w:rPr>
        <w:tab/>
        <w:tab/>
        <w:tab/>
        <w:tab/>
        <w:tab/>
        <w:tab/>
        <w:tab/>
        <w:tab/>
        <w:tab/>
        <w:tab/>
        <w:tab/>
        <w:tab/>
        <w:tab/>
        <w:tab/>
        <w:tab/>
        <w:tab/>
        <w:tab/>
        <w:tab/>
        <w:tab/>
        <w:tab/>
        <w:tab/>
        <w:tab/>
        <w:tab/>
        <w:tab/>
        <w:tab/>
        <w:tab/>
        <w:tab/>
        <w:tab/>
        <w:tab/>
        <w:tab/>
        <w:tab/>
        <w:tab/>
        <w:tab/>
        <w:tab/>
        <w:tab/>
        <w:tab/>
        <w:tab/>
        <w:tab/>
        <w:tab/>
        <w:t xml:space="preserve">   (n)</w:t>
      </w:r>
      <w:r>
        <w:rPr>
          <w:b/>
          <w:sz w:val="22"/>
        </w:rPr>
        <w:t>Other Provisions.</w:t>
      </w:r>
      <w:r>
        <w:rPr>
          <w:sz w:val="22"/>
        </w:rPr>
        <w:t xml:space="preserve">  </w:t>
      </w:r>
    </w:p>
    <w:p>
      <w:pPr>
        <w:pStyle w:val="BodyTextIndent2"/>
        <w:ind w:start="0" w:end="0"/>
        <w:rPr/>
      </w:pPr>
      <w:r>
        <w:rPr>
          <w:b/>
        </w:rPr>
        <w:t>IN WITNESS WHEREOF</w:t>
      </w:r>
      <w:r>
        <w:rPr/>
        <w:t xml:space="preserve"> the parties have executed this Annex on the respective dates specified below with effect from the date specified on the first page of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sz w:val="22"/>
        </w:rPr>
        <w:t>AMERADA HESS CORPORATION</w:t>
        <w:tab/>
        <w:tab/>
        <w:tab/>
        <w:t xml:space="preserve">« </w:t>
      </w:r>
      <w:r>
        <w:rPr>
          <w:b/>
          <w:sz w:val="24"/>
        </w:rPr>
        <w:t>Company» (“Party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b/>
        <w:tab/>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w:t>
        <w:tab/>
        <w:t>________________________________</w:t>
        <w:tab/>
        <w:tab/>
        <w:t>By:</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Name:</w:t>
        <w:tab/>
        <w:t>________________________________</w:t>
        <w:tab/>
        <w:tab/>
        <w:t>Name: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ab/>
        <w:tab/>
        <w:t>Title: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Date:</w:t>
        <w:tab/>
        <w:t>_________________________________</w:t>
        <w:tab/>
        <w:t>Date:</w:t>
        <w:tab/>
        <w:t>________________________________</w:t>
      </w:r>
    </w:p>
    <w:p>
      <w:pPr>
        <w:pStyle w:val="Normal"/>
        <w:rPr>
          <w:sz w:val="22"/>
        </w:rPr>
      </w:pPr>
      <w:r>
        <w:rPr>
          <w:sz w:val="22"/>
        </w:rPr>
      </w:r>
    </w:p>
    <w:p>
      <w:pPr>
        <w:pStyle w:val="Normal"/>
        <w:widowControl w:val="false"/>
        <w:tabs>
          <w:tab w:val="clear" w:pos="720"/>
          <w:tab w:val="right" w:pos="9360" w:leader="none"/>
        </w:tabs>
        <w:jc w:val="both"/>
        <w:rPr/>
      </w:pPr>
      <w:r>
        <w:rPr/>
      </w:r>
    </w:p>
    <w:p>
      <w:pPr>
        <w:pStyle w:val="Normal"/>
        <w:rPr/>
      </w:pPr>
      <w:r>
        <w:rPr/>
      </w:r>
    </w:p>
    <w:sectPr>
      <w:headerReference w:type="default" r:id="rId2"/>
      <w:footerReference w:type="default" r:id="rId3"/>
      <w:type w:val="nextPage"/>
      <w:pgSz w:w="12240" w:h="15840"/>
      <w:pgMar w:left="1440" w:right="144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s>
      <w:rPr/>
    </w:pPr>
    <w:r>
      <w:rPr>
        <w:sz w:val="16"/>
      </w:rPr>
      <w:fldChar w:fldCharType="begin"/>
    </w:r>
    <w:r>
      <w:rPr>
        <w:sz w:val="16"/>
      </w:rPr>
      <w:instrText xml:space="preserve"> FILENAME \p </w:instrText>
    </w:r>
    <w:r>
      <w:rPr>
        <w:sz w:val="16"/>
      </w:rPr>
      <w:fldChar w:fldCharType="separate"/>
    </w:r>
    <w:r>
      <w:rPr>
        <w:sz w:val="16"/>
      </w:rPr>
      <w:t>/mnt/main-storage/datasets/enron-docs/doc/Credit_Annex_Paragraph_13_AHC_EM.doc</w:t>
    </w:r>
    <w:r>
      <w:rPr>
        <w:sz w:val="16"/>
      </w:rPr>
      <w:fldChar w:fldCharType="end"/>
    </w:r>
    <w:r>
      <w:rPr>
        <w:sz w:val="14"/>
      </w:rPr>
      <w:tab/>
      <w:t xml:space="preserve">Credit Support Annex - 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of 8</w:t>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right" w:pos="9360" w:leader="none"/>
      </w:tabs>
      <w:rPr>
        <w:b/>
        <w:sz w:val="22"/>
      </w:rPr>
    </w:pPr>
    <w:r>
      <w:rPr>
        <w:sz w:val="22"/>
      </w:rPr>
      <w:tab/>
    </w:r>
  </w:p>
  <w:p>
    <w:pPr>
      <w:pStyle w:val="Normal"/>
      <w:widowControl w:val="false"/>
      <w:rPr>
        <w:b/>
        <w:sz w:val="22"/>
      </w:rPr>
    </w:pPr>
    <w:r>
      <w:rPr>
        <w:b/>
        <w:sz w:val="22"/>
      </w:rPr>
    </w:r>
  </w:p>
  <w:p>
    <w:pPr>
      <w:pStyle w:val="Normal"/>
      <w:widowControl w:val="false"/>
      <w:rPr>
        <w:b/>
        <w:sz w:val="22"/>
      </w:rPr>
    </w:pPr>
    <w:r>
      <w:rPr>
        <w:b/>
        <w:sz w:val="22"/>
      </w:rPr>
    </w:r>
  </w:p>
  <w:p>
    <w:pPr>
      <w:pStyle w:val="Normal"/>
      <w:widowControl w:val="false"/>
      <w:spacing w:lineRule="exact" w:line="24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b/>
      </w:rPr>
    </w:lvl>
  </w:abstractNum>
  <w:abstractNum w:abstractNumId="3">
    <w:lvl w:ilvl="0">
      <w:start w:val="1"/>
      <w:numFmt w:val="lowerLetter"/>
      <w:lvlText w:val="(%1)"/>
      <w:lvlJc w:val="start"/>
      <w:pPr>
        <w:tabs>
          <w:tab w:val="num" w:pos="720"/>
        </w:tabs>
        <w:ind w:start="720" w:hanging="720"/>
      </w:pPr>
      <w:rPr/>
    </w:lvl>
  </w:abstractNum>
  <w:abstractNum w:abstractNumId="4">
    <w:lvl w:ilvl="0">
      <w:start w:val="3"/>
      <w:numFmt w:val="upperLetter"/>
      <w:lvlText w:val="(%1)"/>
      <w:lvlJc w:val="start"/>
      <w:pPr>
        <w:tabs>
          <w:tab w:val="num" w:pos="1440"/>
        </w:tabs>
        <w:ind w:start="1440" w:hanging="720"/>
      </w:pPr>
      <w:rPr/>
    </w:lvl>
  </w:abstractNum>
  <w:abstractNum w:abstractNumId="5">
    <w:lvl w:ilvl="0">
      <w:start w:val="3"/>
      <w:numFmt w:val="lowerRoman"/>
      <w:lvlText w:val="(%1)"/>
      <w:lvlJc w:val="start"/>
      <w:pPr>
        <w:tabs>
          <w:tab w:val="num" w:pos="1440"/>
        </w:tabs>
        <w:ind w:start="1440" w:hanging="720"/>
      </w:pPr>
      <w:rPr/>
    </w:lvl>
  </w:abstractNum>
  <w:abstractNum w:abstractNumId="6">
    <w:lvl w:ilvl="0">
      <w:start w:val="11"/>
      <w:numFmt w:val="lowerLetter"/>
      <w:lvlText w:val="(%1)"/>
      <w:lvlJc w:val="start"/>
      <w:pPr>
        <w:tabs>
          <w:tab w:val="num" w:pos="720"/>
        </w:tabs>
        <w:ind w:start="720" w:hanging="720"/>
      </w:pPr>
      <w:rPr/>
    </w:lvl>
  </w:abstractNum>
  <w:abstractNum w:abstractNumId="7">
    <w:lvl w:ilvl="0">
      <w:start w:val="1"/>
      <w:numFmt w:val="decimal"/>
      <w:lvlText w:val="(%1)"/>
      <w:lvlJc w:val="start"/>
      <w:pPr>
        <w:tabs>
          <w:tab w:val="num" w:pos="2160"/>
        </w:tabs>
        <w:ind w:start="2160" w:hanging="720"/>
      </w:pPr>
      <w:rPr/>
    </w:lvl>
  </w:abstractNum>
  <w:abstractNum w:abstractNumId="8">
    <w:lvl w:ilvl="0">
      <w:start w:val="2"/>
      <w:numFmt w:val="decimal"/>
      <w:lvlText w:val=""/>
      <w:lvlJc w:val="start"/>
      <w:pPr>
        <w:tabs>
          <w:tab w:val="num" w:pos="360"/>
        </w:tabs>
        <w:ind w:start="360" w:hanging="360"/>
      </w:pPr>
      <w:rPr/>
    </w:lvl>
  </w:abstractNum>
  <w:abstractNum w:abstractNumId="9">
    <w:lvl w:ilvl="0">
      <w:start w:val="1"/>
      <w:numFmt w:val="lowerRoman"/>
      <w:lvlText w:val="(%1)"/>
      <w:lvlJc w:val="start"/>
      <w:pPr>
        <w:tabs>
          <w:tab w:val="num" w:pos="720"/>
        </w:tabs>
        <w:ind w:start="720" w:hanging="720"/>
      </w:pPr>
      <w:rPr/>
    </w:lvl>
  </w:abstractNum>
  <w:abstractNum w:abstractNumId="10">
    <w:lvl w:ilvl="0">
      <w:start w:val="3"/>
      <w:numFmt w:val="lowerLetter"/>
      <w:lvlText w:val="(%1)"/>
      <w:lvlJc w:val="start"/>
      <w:pPr>
        <w:tabs>
          <w:tab w:val="num" w:pos="570"/>
        </w:tabs>
        <w:ind w:start="570" w:hanging="570"/>
      </w:pPr>
      <w:rPr/>
    </w:lvl>
  </w:abstractNum>
  <w:abstractNum w:abstractNumId="11">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b/>
      <w:sz w:val="22"/>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sz w:val="24"/>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style>
  <w:style w:type="character" w:styleId="WW8Num21z0">
    <w:name w:val="WW8Num21z0"/>
    <w:qFormat/>
    <w:rPr>
      <w:b w:val="fals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strike/>
      <w:sz w:val="22"/>
    </w:rPr>
  </w:style>
  <w:style w:type="paragraph" w:styleId="BodyTextIndent">
    <w:name w:val="Body Text Indent"/>
    <w:basedOn w:val="Normal"/>
    <w:pPr>
      <w:widowControl w:val="false"/>
      <w:ind w:hanging="0" w:start="72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pPr>
    <w:rPr>
      <w:sz w:val="22"/>
    </w:rPr>
  </w:style>
  <w:style w:type="paragraph" w:styleId="BodyTextIndent3">
    <w:name w:val="Body Text Inden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1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2001-06-01T20:23:00Z</dcterms:created>
  <dc:creator>Commodities Trading</dc:creator>
  <dc:description/>
  <dc:language>en-CA</dc:language>
  <cp:lastModifiedBy>fsayre</cp:lastModifiedBy>
  <cp:lastPrinted>2001-09-26T09:19:00Z</cp:lastPrinted>
  <dcterms:modified xsi:type="dcterms:W3CDTF">2001-09-26T11:49:00Z</dcterms:modified>
  <cp:revision>32</cp:revision>
  <dc:subject/>
  <dc:title/>
</cp:coreProperties>
</file>