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SCHEDULE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to the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CREDIT SUPPORT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dated as of </w:t>
      </w:r>
      <w:r>
        <w:rPr>
          <w:b/>
          <w:u w:val="single"/>
        </w:rPr>
        <w:t xml:space="preserve">                               </w:t>
      </w:r>
      <w:r>
        <w:rPr>
          <w:b/>
        </w:rPr>
        <w:t>, 2000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between</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HESS ENERGY SERVICES </w:t>
      </w:r>
      <w:r>
        <w:rPr>
          <w:b/>
          <w:shd w:fill="FFFFFF" w:val="clear"/>
        </w:rPr>
        <w:t xml:space="preserve">COMPANY, </w:t>
      </w:r>
      <w:r>
        <w:rPr>
          <w:b/>
        </w:rPr>
        <w:t>LLC. (Party "A")</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and</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«COMPANY» (“Party B”)</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Paragraph 13. Elections and Variables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numPr>
          <w:ilvl w:val="0"/>
          <w:numId w:val="2"/>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Security Interest for "Obligations".</w:t>
      </w:r>
      <w:r>
        <w:rPr/>
        <w:t xml:space="preserve">  The term </w:t>
      </w:r>
      <w:r>
        <w:rPr>
          <w:b/>
        </w:rPr>
        <w:t>"Obligations"</w:t>
      </w:r>
      <w:r>
        <w:rPr/>
        <w:t xml:space="preserve"> as used in this Annex includes the following additional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BodyTextInden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(b)</w:t>
        <w:tab/>
      </w:r>
      <w:r>
        <w:rPr>
          <w:b/>
        </w:rPr>
        <w:t>Credit Support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b/>
        </w:rPr>
        <w:t>Delivery Amount, Return and Credit Support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r>
      <w:r>
        <w:rPr>
          <w:b/>
        </w:rPr>
        <w:t>"Delivery Amount"</w:t>
      </w:r>
      <w:r>
        <w:rPr/>
        <w:t xml:space="preserve"> has the meaning specified in Paragraph 3(a).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r>
      <w:r>
        <w:rPr>
          <w:b/>
        </w:rPr>
        <w:t>"Return Amount"</w:t>
      </w:r>
      <w:r>
        <w:rPr/>
        <w:t xml:space="preserve"> has the meaning specified in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r>
      <w:r>
        <w:rPr>
          <w:b/>
        </w:rPr>
        <w:t>"Credit Support Amount"</w:t>
      </w:r>
      <w:r>
        <w:rPr/>
        <w:t xml:space="preserve"> has the meaning specified in Paragraph 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b/>
        </w:rPr>
        <w:t>Eligible Collateral.</w:t>
      </w:r>
      <w:r>
        <w:rPr/>
        <w:t xml:space="preserve">  The following will qualify as </w:t>
      </w:r>
      <w:r>
        <w:rPr>
          <w:b/>
        </w:rPr>
        <w:t>"Eligible Collateral"</w:t>
      </w:r>
      <w:r>
        <w:rPr/>
        <w:t xml:space="preserve"> for the party specified: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tbl>
      <w:tblPr>
        <w:tblW w:w="7306" w:type="dxa"/>
        <w:jc w:val="start"/>
        <w:tblInd w:w="1548" w:type="dxa"/>
        <w:tblLayout w:type="fixed"/>
        <w:tblCellMar>
          <w:top w:w="0" w:type="dxa"/>
          <w:start w:w="108" w:type="dxa"/>
          <w:bottom w:w="0" w:type="dxa"/>
          <w:end w:w="108" w:type="dxa"/>
        </w:tblCellMar>
      </w:tblPr>
      <w:tblGrid>
        <w:gridCol w:w="1461"/>
        <w:gridCol w:w="2415"/>
        <w:gridCol w:w="804"/>
        <w:gridCol w:w="810"/>
        <w:gridCol w:w="1816"/>
      </w:tblGrid>
      <w:tr>
        <w:trPr/>
        <w:tc>
          <w:tcPr>
            <w:tcW w:w="1461" w:type="dxa"/>
            <w:tcBorders/>
          </w:tcPr>
          <w:p>
            <w:pPr>
              <w:pStyle w:val="Normal"/>
              <w:snapToGrid w:val="false"/>
              <w:rPr/>
            </w:pPr>
            <w:r>
              <w:rPr/>
            </w:r>
          </w:p>
          <w:p>
            <w:pPr>
              <w:pStyle w:val="Normal"/>
              <w:rPr/>
            </w:pPr>
            <w:r>
              <w:rPr/>
            </w:r>
          </w:p>
          <w:p>
            <w:pPr>
              <w:pStyle w:val="Normal"/>
              <w:rPr/>
            </w:pPr>
            <w:r>
              <w:rPr/>
            </w:r>
          </w:p>
          <w:p>
            <w:pPr>
              <w:pStyle w:val="Normal"/>
              <w:rPr/>
            </w:pPr>
            <w:r>
              <w:rPr/>
              <w:t>(A</w:t>
            </w:r>
          </w:p>
          <w:p>
            <w:pPr>
              <w:pStyle w:val="Normal"/>
              <w:rPr>
                <w:strike/>
              </w:rPr>
            </w:pPr>
            <w:r>
              <w:rPr>
                <w:strike/>
              </w:rPr>
            </w:r>
          </w:p>
        </w:tc>
        <w:tc>
          <w:tcPr>
            <w:tcW w:w="2415"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strike/>
              </w:rPr>
            </w:pPr>
            <w:r>
              <w:rPr>
                <w:strik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Cash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2"/>
              <w:rPr>
                <w:sz w:val="20"/>
              </w:rPr>
            </w:pPr>
            <w:r>
              <w:rPr>
                <w:sz w:val="20"/>
              </w:rPr>
            </w:r>
          </w:p>
          <w:p>
            <w:pPr>
              <w:pStyle w:val="Normal"/>
              <w:rPr>
                <w:sz w:val="20"/>
              </w:rPr>
            </w:pPr>
            <w:r>
              <w:rPr>
                <w:sz w:val="20"/>
              </w:rPr>
            </w:r>
          </w:p>
        </w:tc>
        <w:tc>
          <w:tcPr>
            <w:tcW w:w="804" w:type="dxa"/>
            <w:tcBorders/>
          </w:tcPr>
          <w:p>
            <w:pPr>
              <w:pStyle w:val="Normal"/>
              <w:rPr>
                <w:b/>
                <w:u w:val="single"/>
              </w:rPr>
            </w:pPr>
            <w:r>
              <w:rPr>
                <w:b/>
                <w:u w:val="single"/>
              </w:rPr>
              <w:t>Party A</w:t>
            </w:r>
          </w:p>
          <w:p>
            <w:pPr>
              <w:pStyle w:val="Normal"/>
              <w:rPr>
                <w:b/>
                <w:u w:val="single"/>
              </w:rPr>
            </w:pPr>
            <w:r>
              <w:rPr>
                <w:b/>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rPr>
                <w:strike/>
              </w:rPr>
            </w:pPr>
            <w:r>
              <w:rPr>
                <w:strike/>
              </w:rPr>
            </w:r>
          </w:p>
        </w:tc>
        <w:tc>
          <w:tcPr>
            <w:tcW w:w="810"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single"/>
              </w:rPr>
            </w:pPr>
            <w:r>
              <w:rPr>
                <w:b/>
                <w:u w:val="single"/>
              </w:rPr>
              <w:t>Party B</w:t>
            </w:r>
          </w:p>
          <w:p>
            <w:pPr>
              <w:pStyle w:val="Normal"/>
              <w:rPr>
                <w:b/>
                <w:u w:val="single"/>
              </w:rPr>
            </w:pPr>
            <w:r>
              <w:rPr>
                <w:b/>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rPr>
                <w:strike/>
              </w:rPr>
            </w:pPr>
            <w:r>
              <w:rPr>
                <w:strike/>
              </w:rPr>
            </w:r>
          </w:p>
        </w:tc>
        <w:tc>
          <w:tcPr>
            <w:tcW w:w="1816"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Valuation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single"/>
              </w:rPr>
            </w:pPr>
            <w:r>
              <w:rPr>
                <w:b/>
                <w:u w:val="single"/>
              </w:rPr>
              <w:t>Percentage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rPr>
                <w:strike/>
              </w:rPr>
            </w:pPr>
            <w:r>
              <w:rPr>
                <w:strike/>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tab/>
        <w:tab/>
        <w:t>(iii)</w:t>
        <w:tab/>
      </w:r>
      <w:r>
        <w:rPr>
          <w:b/>
        </w:rPr>
        <w:t>Other Eligible Support.</w:t>
      </w:r>
      <w:r>
        <w:rPr/>
        <w:t xml:space="preserve">  The following will qualify as </w:t>
      </w:r>
      <w:r>
        <w:rPr>
          <w:b/>
        </w:rPr>
        <w:t>"Other Eligible Support"</w:t>
      </w:r>
      <w:r>
        <w:rPr/>
        <w:t xml:space="preserve"> for </w:t>
        <w:tab/>
        <w:tab/>
        <w:tab/>
        <w:t>the party specified: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r>
    </w:p>
    <w:tbl>
      <w:tblPr>
        <w:tblW w:w="7301" w:type="dxa"/>
        <w:jc w:val="start"/>
        <w:tblInd w:w="1440" w:type="dxa"/>
        <w:tblLayout w:type="fixed"/>
        <w:tblCellMar>
          <w:top w:w="0" w:type="dxa"/>
          <w:start w:w="0" w:type="dxa"/>
          <w:bottom w:w="0" w:type="dxa"/>
          <w:end w:w="0" w:type="dxa"/>
        </w:tblCellMar>
      </w:tblPr>
      <w:tblGrid>
        <w:gridCol w:w="1440"/>
        <w:gridCol w:w="23"/>
        <w:gridCol w:w="2407"/>
        <w:gridCol w:w="23"/>
        <w:gridCol w:w="787"/>
        <w:gridCol w:w="41"/>
        <w:gridCol w:w="679"/>
        <w:gridCol w:w="33"/>
        <w:gridCol w:w="1868"/>
      </w:tblGrid>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240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78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u w:val="single"/>
              </w:rPr>
            </w:pPr>
            <w:r>
              <w:rPr>
                <w:b/>
                <w:u w:val="single"/>
              </w:rPr>
              <w:t xml:space="preserve">Party </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u w:val="single"/>
              </w:rPr>
            </w:pPr>
            <w:r>
              <w:rPr>
                <w:b/>
                <w:u w:val="single"/>
              </w:rPr>
              <w:t>A</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u w:val="single"/>
              </w:rPr>
            </w:pPr>
            <w:r>
              <w:rPr>
                <w:b/>
                <w:u w:val="single"/>
              </w:rPr>
              <w:t>Party B</w:t>
            </w:r>
          </w:p>
        </w:tc>
        <w:tc>
          <w:tcPr>
            <w:tcW w:w="3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2407"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787" w:type="dxa"/>
            <w:tcBorders/>
          </w:tcPr>
          <w:p>
            <w:pPr>
              <w:pStyle w:val="Normal"/>
              <w:keepNext w:val="true"/>
              <w:keepLines/>
              <w:widowControl w:val="false"/>
              <w:tabs>
                <w:tab w:val="left" w:pos="-1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3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r>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w:t>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240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Letter of Credit, as</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defined in Paragraph</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13(j) below.</w:t>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78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[X]</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[X]</w:t>
            </w:r>
          </w:p>
        </w:tc>
        <w:tc>
          <w:tcPr>
            <w:tcW w:w="3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pPr>
            <w:r>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2407"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787"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3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b/>
        <w:t>100% of the Value of the Other Eligible Support unless a Letter of Credit Default shall apply with respect to such Letter of Credit in which case the Valuation Percentage shall be 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vanish/>
        </w:rPr>
      </w:pPr>
      <w:r>
        <w:rPr>
          <w:vanish/>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jc w:val="both"/>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 xml:space="preserve"> </w:t>
      </w:r>
      <w:r>
        <w:rPr/>
        <w:t>(iv)</w:t>
        <w:tab/>
      </w:r>
      <w:r>
        <w:rPr>
          <w:b/>
        </w:rPr>
        <w:t>Thresholds.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r>
      <w:r>
        <w:rPr>
          <w:b/>
        </w:rPr>
        <w:t>"Independent Amount"</w:t>
      </w:r>
      <w:r>
        <w:rPr/>
        <w:t xml:space="preserve"> means 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b/>
        </w:rPr>
        <w:t>"Independent Amount"</w:t>
      </w:r>
      <w:r>
        <w:rPr/>
        <w:t xml:space="preserve"> means 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strike/>
        </w:rPr>
      </w:pPr>
      <w:r>
        <w:rPr>
          <w:b/>
        </w:rPr>
        <w:t>"Threshold"</w:t>
      </w:r>
      <w:r>
        <w:rPr/>
        <w:t xml:space="preserve"> means: with respect to Party A, U.S.$ 10,000,000 and; with respect to Party B, U.S $.......; provided however, that the Threshold for a party shall be zero upon the occurrence and during the continuance of a Material Adverse Change or an Event of Default or Potential Event of Default with respect to such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rPr>
      </w:pPr>
      <w:r>
        <w:rPr>
          <w:b/>
          <w:strik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"Minimum Transfer Amount"</w:t>
      </w:r>
      <w:r>
        <w:rPr/>
        <w:t xml:space="preserve"> means with respect to Party A: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rPr>
        <w:t>“</w:t>
      </w:r>
      <w:r>
        <w:rPr>
          <w:b/>
        </w:rPr>
        <w:t xml:space="preserve">Minimum Transfer Amount” </w:t>
      </w:r>
      <w:r>
        <w:rPr/>
        <w:t>means with respect to Party B: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(D)</w:t>
        <w:tab/>
      </w:r>
      <w:r>
        <w:rPr>
          <w:b/>
        </w:rPr>
        <w:t>"Rounding” The</w:t>
      </w:r>
      <w:r>
        <w:rPr/>
        <w:t xml:space="preserve"> Delivery Amount will be rounded up to the nearest integral multiple of $ 100,000.00 and the Return Amount will be rounded down to the nearest integral multiple of $ 100,000.00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Valuation and Timing.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b/>
        </w:rPr>
        <w:t>"Valuation Agent"</w:t>
      </w:r>
      <w:r>
        <w:rPr/>
        <w:t xml:space="preserve"> means, for purposes of Paragraphs 3 and 5, the party making the demand under Paragraph 3, and for the purposes of Paragraph 6(d), the Secured Party receiving or deemed to receive the Distributions or the Interest Amount, as applicable; provided, however, that in all cases, if an Event of Default has occurred and is continuing with respect to the party designated as the Valuation Agent, then, in such case, and for so long as the Event of Default continues, the Non-defaulting Party (either Party A or Party B) will be the Valuation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r>
      <w:r>
        <w:rPr>
          <w:b/>
        </w:rPr>
        <w:t>"Valuation Date"</w:t>
      </w:r>
      <w:r>
        <w:rPr/>
        <w:t xml:space="preserve"> means any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(iii)</w:t>
        <w:tab/>
      </w:r>
      <w:r>
        <w:rPr>
          <w:b/>
        </w:rPr>
        <w:t>"Valuation Time"</w:t>
      </w:r>
      <w:r>
        <w:rPr/>
        <w:t xml:space="preserve"> means the close of business on the Local Business Day before the Valuation Date of calculation, as applicable; </w:t>
      </w:r>
      <w:r>
        <w:rPr>
          <w:b/>
        </w:rPr>
        <w:t>provided,</w:t>
      </w:r>
      <w:r>
        <w:rPr/>
        <w:t xml:space="preserve"> that the calculations of Value and Exposure will be made as of approximately the same time on the same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(iv)</w:t>
        <w:tab/>
      </w:r>
      <w:r>
        <w:rPr>
          <w:b/>
        </w:rPr>
        <w:t>"Notification Time"</w:t>
      </w:r>
      <w:r>
        <w:rPr/>
        <w:t xml:space="preserve"> means 1:00 p.m., New York time, on a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Conditions Precedent and Secured Party's Rights and Remedies.  </w:t>
      </w:r>
      <w:r>
        <w:rPr/>
        <w:t>The following Termination Event (s) will be a “</w:t>
      </w:r>
      <w:r>
        <w:rPr>
          <w:b/>
        </w:rPr>
        <w:t>Specified Condition”</w:t>
      </w:r>
      <w:r>
        <w:rPr/>
        <w:t xml:space="preserve"> for the party specified (that party being the Affected Party if the Termination Agent occurs with respect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b/>
        <w:tab/>
        <w:tab/>
        <w:tab/>
        <w:tab/>
        <w:tab/>
        <w:tab/>
        <w:tab/>
        <w:t>Party A</w:t>
        <w:tab/>
        <w:t>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ab/>
        <w:tab/>
      </w:r>
      <w:r>
        <w:rPr/>
        <w:t>Illegality</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Tax Event</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Tax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Credit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Additional Termination Events (if any)</w:t>
        <w:tab/>
        <w:tab/>
        <w:t xml:space="preserve">[x] </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(e)</w:t>
        <w:tab/>
      </w:r>
      <w:r>
        <w:rPr>
          <w:b/>
        </w:rPr>
        <w:t>Substitution.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b/>
        </w:rPr>
        <w:t>"Substitution Date"</w:t>
      </w:r>
      <w:r>
        <w:rPr/>
        <w:t xml:space="preserve"> has the meaning specified in Paragraph 4(d)(ii).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b/>
        </w:rPr>
        <w:t>"Consent"</w:t>
      </w:r>
      <w:r>
        <w:rPr/>
        <w:t xml:space="preserve"> Applicable, which shall mean that the Pledgor must obtain the Secured Party’s consent for any substitution pursuant to Paragraph 4(d).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(f)</w:t>
        <w:tab/>
      </w:r>
      <w:r>
        <w:rPr>
          <w:b/>
        </w:rPr>
        <w:t>Dispute Resolution.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b/>
        </w:rPr>
        <w:t>"Resolution Time"</w:t>
      </w:r>
      <w:r>
        <w:rPr/>
        <w:t xml:space="preserve"> means 1:00 p.m., New York time, on the Local Business Day following the date on which the notice is given that gives rise to a dispute under Paragraph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b/>
        </w:rPr>
        <w:t>"Value"</w:t>
      </w:r>
      <w:r>
        <w:rPr/>
        <w:t xml:space="preserve"> For the purpose of Paragraph 5(i)(C) and 5(ii), the Value of Posted Credit Support will be calculated as follows: (i) in the case of cash, the face amount thereof; and (ii) in the case of any securities agreed as Other Eligible Support, the Valuation Agent shall seek three (3) mid-market quotes as of the relevant Valuation Date or date of Transfer from parties that regularly act as dealers in the securities or other property in question.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(iii)</w:t>
        <w:tab/>
      </w:r>
      <w:r>
        <w:rPr>
          <w:b/>
        </w:rPr>
        <w:t xml:space="preserve">“Alternative”. </w:t>
      </w:r>
      <w:r>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(g)</w:t>
        <w:tab/>
      </w:r>
      <w:r>
        <w:rPr>
          <w:b/>
        </w:rPr>
        <w:t>Holding and Using Posted Collateral.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ab/>
        <w:t>(i)</w:t>
        <w:tab/>
      </w:r>
      <w:r>
        <w:rPr>
          <w:b/>
        </w:rPr>
        <w:t xml:space="preserve">Eligibility to Hold Posted Collateral.  </w:t>
      </w:r>
      <w:r>
        <w:rPr/>
        <w:t xml:space="preserve">Party A will be entitled to hold Posted Collateral pursuant to Paragraph 6(b); </w:t>
      </w:r>
      <w:r>
        <w:rPr>
          <w:b/>
          <w:u w:val="single"/>
        </w:rPr>
        <w:t>provided</w:t>
      </w:r>
      <w:r>
        <w:rPr/>
        <w:t xml:space="preserve"> that the following conditions applicable to it are satisfied:</w:t>
      </w:r>
    </w:p>
    <w:p>
      <w:pPr>
        <w:pStyle w:val="Normal"/>
        <w:widowControl w:val="false"/>
        <w:tabs>
          <w:tab w:val="clear" w:pos="720"/>
          <w:tab w:val="right" w:pos="9360" w:leader="none"/>
        </w:tabs>
        <w:jc w:val="both"/>
        <w:rPr/>
      </w:pPr>
      <w:r>
        <w:rPr/>
      </w:r>
    </w:p>
    <w:p>
      <w:pPr>
        <w:pStyle w:val="Normal"/>
        <w:widowControl w:val="false"/>
        <w:numPr>
          <w:ilvl w:val="0"/>
          <w:numId w:val="6"/>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Party A, as Secured Party, is not a Defaulting Party and a Material Adverse change has not occurred with respect to Party A as well as any Credit Support Provider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
    </w:p>
    <w:p>
      <w:pPr>
        <w:pStyle w:val="Normal"/>
        <w:widowControl w:val="false"/>
        <w:numPr>
          <w:ilvl w:val="0"/>
          <w:numId w:val="6"/>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Posted Collateral may be held only in the United States of America.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
    </w:p>
    <w:p>
      <w:pPr>
        <w:pStyle w:val="Normal"/>
        <w:widowControl w:val="false"/>
        <w:numPr>
          <w:ilvl w:val="0"/>
          <w:numId w:val="7"/>
        </w:numPr>
        <w:tabs>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t xml:space="preserve">Party B will be entitled to hold Posted Collateral pursuant to Paragraph 6(b); </w:t>
      </w:r>
      <w:r>
        <w:rPr>
          <w:b/>
          <w:u w:val="single"/>
        </w:rPr>
        <w:t>provided</w:t>
      </w:r>
      <w:r>
        <w:rPr/>
        <w:t xml:space="preserve"> that the following conditions applicable to it are satisfied: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val="false"/>
        <w:numPr>
          <w:ilvl w:val="0"/>
          <w:numId w:val="1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Party B, as Secured Party, is not a Defaulting Party and a Material Adverse Change has not occurred with respect to Party B as well as any Credit Support Provider of 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b/>
        <w:t>(2)</w:t>
        <w:tab/>
        <w:t>Posted Collateral may be held only in the United States of America.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b/>
        </w:rPr>
        <w:t>"Use of Posted Collateral”.</w:t>
      </w:r>
      <w:r>
        <w:rPr/>
        <w:t xml:space="preserve"> The provisions of Paragraph 6(c) will not apply to either Party and the Parties will not be permitted to use the Posted Collateral in the manner described in Paragraph 6(c)(i); provided, that either Party which is entitled to hold Posted Collateral will be permitted to use cash collateral in the manner specified in Paragraph 6(c)(i).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(h)</w:t>
        <w:tab/>
      </w:r>
      <w:r>
        <w:rPr>
          <w:b/>
        </w:rPr>
        <w:t>Distributions and Interest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b/>
        </w:rPr>
        <w:t>"Interest Rate"</w:t>
      </w:r>
      <w:r>
        <w:rPr/>
        <w:t xml:space="preserve">. The Interest Rate will be at a rate per annum equal to the one-month London Interbank Offered Rate (LIBOR) determined daily as provided </w:t>
      </w:r>
      <w:r>
        <w:rPr>
          <w:b/>
        </w:rPr>
        <w:t xml:space="preserve">under the heading "Money Rates" </w:t>
      </w:r>
      <w:r>
        <w:rPr/>
        <w:t xml:space="preserve">in </w:t>
      </w:r>
      <w:r>
        <w:rPr>
          <w:b/>
        </w:rPr>
        <w:t>The Wall Street Journal</w:t>
      </w:r>
      <w:r>
        <w:rPr/>
        <w:t>.  Such interest shall be calculated commencing on the date such Collateral is received by the Secured Party but excluding the earlier of (i) the date such Collateral is returned to Pledgor pursuant to Paragraph 4 hereof or (ii) the date such Collateral is applied to Pledgor's Obligations pursuant to Paragraph 8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b/>
        </w:rPr>
        <w:t>"Transfer of Interest Amount".</w:t>
      </w:r>
      <w:r>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4"/>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"Alternative to Interest Amount"</w:t>
      </w:r>
      <w:r>
        <w:rPr/>
        <w:t xml:space="preserve"> The provisions of Paragraph 6(d)(ii) will apply.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8"/>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Additional Representation(s).</w:t>
      </w:r>
      <w:r>
        <w:rPr/>
        <w:t xml:space="preserve">  Not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(j)</w:t>
        <w:tab/>
      </w:r>
      <w:r>
        <w:rPr>
          <w:b/>
        </w:rPr>
        <w:t>Other Eligible Support and Other Posted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b/>
        </w:rPr>
        <w:t>"Value"</w:t>
      </w:r>
      <w:r>
        <w:rPr/>
        <w:t xml:space="preserve"> with respect to Other Eligible Support and Other Posted Support means the stated amount (undrawn portion) of any Letter of Credit maintained by the Pledgor (or its Credit Support Provider) for the benefit of the Secured Party.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b/>
        </w:rPr>
        <w:t>"Transfer"</w:t>
      </w:r>
      <w:r>
        <w:rPr/>
        <w:t xml:space="preserve"> with respect to Other Eligible Support and Other Posted means: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For purposes of Paragraph 3(a), delivery of the Letter of Credit by the Pledgor or issuer of the Letter of Credit to the Secured Party at the address of the Secured Party</w:t>
      </w:r>
      <w:r>
        <w:rPr>
          <w:u w:val="single"/>
        </w:rPr>
        <w:t xml:space="preserve"> </w:t>
      </w:r>
      <w:r>
        <w:rPr/>
        <w:t>specified in the Notices Section of this Agreement, or delivery of an executed amendment to such Letter of Credit (extending the term or increasing the amount available to the Secured Party thereunder) by the Pledgor or the issuer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(2)</w:t>
        <w:tab/>
        <w:t>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(iii)</w:t>
        <w:tab/>
      </w:r>
      <w:r>
        <w:rPr>
          <w:b/>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Unless otherwise agreed in writing by the parties, each Letter of Credit shall be provided in accordance with the provisions of this Annex, and each Letter of Credit shall be maintained for the benefit of the Secured Party.  The Pledgor shall:  (i) renew or cause the renewal of each outstanding Letter of Credit on a timely basis as provided in the relevant Letter of Credit; and (ii) if the Qualified Institution that issued an outstanding Letter of Credit has indicated its intent not to renew such Letter of Credit (or provide a substitute Letter of Credit) at least thirty (30) Business Days prior to the expiration of the outstanding Letter of Credit; or (iii) if a Qualified Institution issuing a Letter of Credit shall fail to honor the Secured Party's properly documented request to draw on an outstanding Letter of Credit, the Pledgor shall provide for the benefit of the Secured Party:  (x) a substitute Letter of Credit, that is issued by a Qualified Institution acceptable to the Secured Party, other than the Qualified Institution failing to honor the outstanding Letter of Credit; or (y) post Eligible Collateral, in each case within one (1)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Qualified Institution issuing the Letter of Credit 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Qualified Institution issuing such Letter of Credit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(4)</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(5)</w:t>
        <w:tab/>
        <w:t>Upon the occurrence of a Letter of Credit Default, the Pledgor agrees to deliver a substitute Letter of Credit or other Eligible Credit Support to the Secured Party in an amount at least equal to that of the Letter of Credit to be replaced on or before the first (1st) Business Day after written demand by the Secured Party (or the third (3rd)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r>
      <w:r>
        <w:rPr>
          <w:b/>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r>
      <w:r>
        <w:rPr>
          <w:b/>
        </w:rPr>
        <w:t>"Secured Party Rights and Remedies” For</w:t>
      </w:r>
      <w:r>
        <w:rPr/>
        <w:t xml:space="preserve">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(2)</w:t>
        <w:tab/>
      </w:r>
      <w:r>
        <w:rPr>
          <w:b/>
        </w:rPr>
        <w:t xml:space="preserve">"Pledgor Rights and Remedies" </w:t>
      </w:r>
      <w:r>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Additional Definitions.</w:t>
      </w:r>
      <w:r>
        <w:rPr/>
        <w:t xml:space="preserve">  As used in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w:t>
      </w:r>
      <w:r>
        <w:rPr>
          <w:b/>
        </w:rPr>
        <w:t xml:space="preserve">Credit Rating” </w:t>
      </w:r>
      <w:r>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S&amp;Por Moody’s.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 xml:space="preserve">“ </w:t>
      </w:r>
      <w:r>
        <w:rPr>
          <w:b/>
        </w:rPr>
        <w:t xml:space="preserve">Funded Debt” </w:t>
      </w:r>
      <w:r>
        <w:rPr/>
        <w:t xml:space="preserve">means indebtedness of Party’s B’s Credit Support Provider which by its terms matures more than one year from the date as of which any calculation of Funded Debt is made.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w:t>
      </w:r>
      <w:r>
        <w:rPr>
          <w:b/>
        </w:rPr>
        <w:t xml:space="preserve">GAAP” </w:t>
      </w:r>
      <w:r>
        <w:rPr/>
        <w:t>shall mean generally accepted accounting principals, consistently applied, in the United States.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trike/>
        </w:rPr>
      </w:pPr>
      <w:r>
        <w:rPr>
          <w:strik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"Letter of Credit"</w:t>
      </w:r>
      <w:r>
        <w:rPr/>
        <w:t xml:space="preserve"> shall mean an irrevocable and non-transferable letter of credit, issued by a Qualified Institution acceptable to the secured party, and acceptable in both form and substance to both the Qualified Institution and to the secured party in whose favor the letter of credit is issued.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"Letter of Credit Default"</w:t>
      </w:r>
      <w:r>
        <w:rPr/>
        <w:t xml:space="preserve"> shall mean with respect to an outstanding Letter of Credit, the occurrence of any of the following events (i) the issuer of such Letter of Credit shall fail to maintain a Credit Rating of a least "BBB-" by S&amp;P or "Baa3"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of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 (a) (vii) of this Agreement shall occur with respect to the issuer of such Letter of Credit; or (vi) the Pledgor or the issuer of the Letter of Credit shall fail to cause the renewal or replacement Letter of Credit to the Secured Party at the address specified in the Agreement at least thirty (30) days prior to the expiration of such Letter of Credit;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w:t>
      </w:r>
      <w:r>
        <w:rPr>
          <w:b/>
        </w:rPr>
        <w:t xml:space="preserve">Material Adverse Change” </w:t>
      </w:r>
      <w:r>
        <w:rPr/>
        <w:t>means (a) with respect to Party A, its Credit Support Provider’s Credit Rating is below “BBB-“ by S&amp;P; or (b) with respect to Party B, its Credit Support Provider shall have either of the following occur at any time: (i) the ratio of its Funded Debt to Net Worth is more than 1.25 to 1.0, or (ii) the ratio of its Current Assets to Current Liabilities is less than 1.0 to 1.0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val="false"/>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"Demands and Notices"</w:t>
      </w:r>
      <w:r>
        <w:rPr/>
        <w:t xml:space="preserve"> All demands, specifications, and notices under this Annex will be made pursuant to the Notices Section of this Agreement.</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rPr>
        <w:t xml:space="preserve">Qualified Institution” </w:t>
      </w:r>
      <w:r>
        <w:rPr/>
        <w:t>shall mean a major U.S. commercial bank, or a foreign bank with a U.S. branch office, which is not the Pledgor (or a subsidiary or affiliate of the Pledgor) and which has a Credit Rating of at least “BBB-“ by S&amp;P, or “Baa3” by Moody’s.</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Other Provisions. </w:t>
      </w:r>
      <w:r>
        <w:rPr/>
        <w:t>This Credit Support Annex is a Security Agreement under the Uniform Commercial Code (U.C.C.) of the State of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ab/>
        <w:tab/>
        <w:tab/>
        <w:tab/>
        <w:tab/>
        <w:tab/>
        <w:tab/>
        <w:tab/>
        <w:tab/>
        <w:tab/>
        <w:tab/>
        <w:tab/>
        <w:tab/>
        <w:tab/>
        <w:tab/>
        <w:tab/>
        <w:tab/>
        <w:tab/>
        <w:tab/>
        <w:tab/>
        <w:tab/>
        <w:tab/>
        <w:tab/>
        <w:tab/>
        <w:tab/>
        <w:tab/>
        <w:tab/>
        <w:tab/>
        <w:tab/>
        <w:tab/>
        <w:tab/>
        <w:tab/>
        <w:tab/>
        <w:tab/>
        <w:t xml:space="preserve">   (n)</w:t>
      </w:r>
      <w:r>
        <w:rPr>
          <w:b/>
        </w:rPr>
        <w:t>Other Provisions.</w:t>
      </w:r>
      <w:r>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HESS ENERGY SERVICES COMPANY, LLC</w:t>
        <w:tab/>
        <w:tab/>
        <w:t>« Company» (“Party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________________________________</w:t>
        <w:tab/>
        <w:tab/>
        <w:t>By:</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tab/>
        <w:t>________________________________</w:t>
        <w:tab/>
        <w:tab/>
        <w:t>Name: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Title: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w:t>
        <w:tab/>
        <w:t>_________________________________</w:t>
        <w:tab/>
        <w:t>Date:</w:t>
        <w:tab/>
        <w:t>________________________________</w:t>
      </w:r>
    </w:p>
    <w:p>
      <w:pPr>
        <w:pStyle w:val="Normal"/>
        <w:rPr/>
      </w:pPr>
      <w:r>
        <w:rPr/>
      </w:r>
    </w:p>
    <w:p>
      <w:pPr>
        <w:pStyle w:val="Normal"/>
        <w:widowControl w:val="false"/>
        <w:tabs>
          <w:tab w:val="clear" w:pos="720"/>
          <w:tab w:val="right" w:pos="9360" w:leader="none"/>
        </w:tabs>
        <w:jc w:val="both"/>
        <w:rPr/>
      </w:pPr>
      <w:r>
        <w:rPr/>
      </w:r>
    </w:p>
    <w:p>
      <w:pPr>
        <w:pStyle w:val="Normal"/>
        <w:rPr/>
      </w:pPr>
      <w:r>
        <w:rPr/>
      </w:r>
    </w:p>
    <w:sectPr>
      <w:headerReference w:type="default" r:id="rId2"/>
      <w:footerReference w:type="default" r:id="rId3"/>
      <w:type w:val="nextPage"/>
      <w:pgSz w:w="12240" w:h="15840"/>
      <w:pgMar w:left="1440"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/mnt/main-storage/datasets/enron-docs/doc/Credit_Annex_Paragraph_13.doc</w:t>
    </w:r>
    <w:r>
      <w:rPr>
        <w:sz w:val="16"/>
        <w:lang w:eastAsia="en-US"/>
      </w:rPr>
      <w:fldChar w:fldCharType="end"/>
    </w:r>
    <w:r>
      <w:rPr>
        <w:sz w:val="14"/>
      </w:rPr>
      <w:tab/>
      <w:t xml:space="preserve">Credit Support Annex - 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of 8</w:t>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right" w:pos="9360" w:leader="none"/>
      </w:tabs>
      <w:rPr>
        <w:b/>
        <w:sz w:val="22"/>
      </w:rPr>
    </w:pPr>
    <w:r>
      <w:rPr>
        <w:sz w:val="22"/>
      </w:rPr>
      <w:tab/>
    </w:r>
  </w:p>
  <w:p>
    <w:pPr>
      <w:pStyle w:val="Normal"/>
      <w:widowControl w:val="false"/>
      <w:rPr>
        <w:b/>
        <w:sz w:val="22"/>
      </w:rPr>
    </w:pPr>
    <w:r>
      <w:rPr>
        <w:b/>
        <w:sz w:val="22"/>
      </w:rPr>
    </w:r>
  </w:p>
  <w:p>
    <w:pPr>
      <w:pStyle w:val="Normal"/>
      <w:widowControl w:val="false"/>
      <w:rPr>
        <w:b/>
        <w:sz w:val="22"/>
      </w:rPr>
    </w:pPr>
    <w:r>
      <w:rPr>
        <w:b/>
        <w:sz w:val="22"/>
      </w:rPr>
    </w:r>
  </w:p>
  <w:p>
    <w:pPr>
      <w:pStyle w:val="Normal"/>
      <w:widowControl w:val="false"/>
      <w:spacing w:lineRule="exact" w:line="24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3"/>
      <w:numFmt w:val="upperLetter"/>
      <w:lvlText w:val="(%1)"/>
      <w:lvlJc w:val="start"/>
      <w:pPr>
        <w:tabs>
          <w:tab w:val="num" w:pos="1440"/>
        </w:tabs>
        <w:ind w:start="1440" w:hanging="720"/>
      </w:pPr>
      <w:rPr/>
    </w:lvl>
  </w:abstractNum>
  <w:abstractNum w:abstractNumId="4">
    <w:lvl w:ilvl="0">
      <w:start w:val="3"/>
      <w:numFmt w:val="lowerRoman"/>
      <w:lvlText w:val="(%1)"/>
      <w:lvlJc w:val="start"/>
      <w:pPr>
        <w:tabs>
          <w:tab w:val="num" w:pos="1440"/>
        </w:tabs>
        <w:ind w:start="1440" w:hanging="720"/>
      </w:pPr>
      <w:rPr/>
    </w:lvl>
  </w:abstractNum>
  <w:abstractNum w:abstractNumId="5">
    <w:lvl w:ilvl="0">
      <w:start w:val="11"/>
      <w:numFmt w:val="lowerLetter"/>
      <w:lvlText w:val="(%1)"/>
      <w:lvlJc w:val="start"/>
      <w:pPr>
        <w:tabs>
          <w:tab w:val="num" w:pos="720"/>
        </w:tabs>
        <w:ind w:start="720" w:hanging="720"/>
      </w:pPr>
      <w:rPr/>
    </w:lvl>
  </w:abstractNum>
  <w:abstractNum w:abstractNumId="6">
    <w:lvl w:ilvl="0">
      <w:start w:val="1"/>
      <w:numFmt w:val="decimal"/>
      <w:lvlText w:val="(%1)"/>
      <w:lvlJc w:val="start"/>
      <w:pPr>
        <w:tabs>
          <w:tab w:val="num" w:pos="2160"/>
        </w:tabs>
        <w:ind w:start="2160" w:hanging="720"/>
      </w:pPr>
      <w:rPr/>
    </w:lvl>
  </w:abstractNum>
  <w:abstractNum w:abstractNumId="7">
    <w:lvl w:ilvl="0">
      <w:start w:val="2"/>
      <w:numFmt w:val="decimal"/>
      <w:lvlText w:val=""/>
      <w:lvlJc w:val="start"/>
      <w:pPr>
        <w:tabs>
          <w:tab w:val="num" w:pos="360"/>
        </w:tabs>
        <w:ind w:start="360" w:hanging="360"/>
      </w:pPr>
      <w:rPr/>
    </w:lvl>
  </w:abstractNum>
  <w:abstractNum w:abstractNumId="8">
    <w:lvl w:ilvl="0">
      <w:start w:val="1"/>
      <w:numFmt w:val="lowerRoman"/>
      <w:lvlText w:val="(%1)"/>
      <w:lvlJc w:val="start"/>
      <w:pPr>
        <w:tabs>
          <w:tab w:val="num" w:pos="720"/>
        </w:tabs>
        <w:ind w:start="720" w:hanging="720"/>
      </w:pPr>
      <w:rPr/>
    </w:lvl>
  </w:abstractNum>
  <w:abstractNum w:abstractNumId="9">
    <w:lvl w:ilvl="0">
      <w:start w:val="2"/>
      <w:numFmt w:val="lowerLetter"/>
      <w:lvlText w:val="(%1)"/>
      <w:lvlJc w:val="start"/>
      <w:pPr>
        <w:tabs>
          <w:tab w:val="num" w:pos="570"/>
        </w:tabs>
        <w:ind w:start="570" w:hanging="570"/>
      </w:pPr>
      <w:rPr/>
    </w:lvl>
  </w:abstractNum>
  <w:abstractNum w:abstractNumId="10">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u w:val="single"/>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strike/>
      <w:sz w:val="22"/>
    </w:rPr>
  </w:style>
  <w:style w:type="paragraph" w:styleId="BodyTextIndent">
    <w:name w:val="Body Text Indent"/>
    <w:basedOn w:val="Normal"/>
    <w:pPr>
      <w:widowControl w:val="false"/>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2000-01-18T19:52:00Z</dcterms:created>
  <dc:creator>Commodities Trading</dc:creator>
  <dc:description/>
  <dc:language>en-CA</dc:language>
  <cp:lastModifiedBy>Amerada Hess Corporation</cp:lastModifiedBy>
  <cp:lastPrinted>2000-02-10T12:07:00Z</cp:lastPrinted>
  <dcterms:modified xsi:type="dcterms:W3CDTF">2000-02-10T15:38:00Z</dcterms:modified>
  <cp:revision>8</cp:revision>
  <dc:subject/>
  <dc:title/>
</cp:coreProperties>
</file>