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t>Agreement for Credit Services</w:t>
      </w:r>
    </w:p>
    <w:p>
      <w:pPr>
        <w:pStyle w:val="PlainText"/>
        <w:jc w:val="center"/>
        <w:rPr>
          <w:rFonts w:ascii="Times New Roman" w:hAnsi="Times New Roman" w:cs="Times New Roman"/>
          <w:b/>
          <w:sz w:val="24"/>
        </w:rPr>
      </w:pPr>
      <w:r>
        <w:rPr>
          <w:rFonts w:cs="Times New Roman" w:ascii="Times New Roman" w:hAnsi="Times New Roman"/>
          <w:b/>
          <w:sz w:val="24"/>
        </w:rPr>
        <w:t>between</w:t>
      </w:r>
    </w:p>
    <w:p>
      <w:pPr>
        <w:pStyle w:val="PlainText"/>
        <w:jc w:val="center"/>
        <w:rPr>
          <w:rFonts w:ascii="Times New Roman" w:hAnsi="Times New Roman" w:cs="Times New Roman"/>
          <w:b/>
          <w:sz w:val="24"/>
        </w:rPr>
      </w:pPr>
      <w:r>
        <w:rPr>
          <w:rFonts w:cs="Times New Roman" w:ascii="Times New Roman" w:hAnsi="Times New Roman"/>
          <w:b/>
          <w:sz w:val="24"/>
        </w:rPr>
        <w:t>Bridgeline Holdings, L. P. and Enron Corp.</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ab/>
        <w:t>This Service Agreement is entered into as of the First day of June, 2000 ("Effective Date") by Bridgeline Holdings, L.P. a Delaware Limited Partnership (referred to herein as "Bridgeline") and Enron Corp., a Delaware company ("Enron").</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 xml:space="preserve">WHEREAS, Bridgeline desires to enter into an agreement with Enron whereby Enron will provide certain Credit services in connection with Bridgeline's businesses; and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WHEREAS, Enron is so organized and in a position to make available such services in an efficient, competent and economical manner.</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Services</w:t>
      </w:r>
      <w:r>
        <w:rPr>
          <w:rFonts w:cs="Times New Roman" w:ascii="Times New Roman" w:hAnsi="Times New Roman"/>
          <w:sz w:val="24"/>
        </w:rPr>
        <w:t xml:space="preserve">.  As of the June 1, 2000 and effective for a period of two years, Enron shall, subject to the overall direction of the President of Bridgeline, furnish for and on behalf of Bridgeline, such of the services, included on Exhibit 1 ("Services").  To enable Enron to provide the Services, Bridgeline shall: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8"/>
        </w:numPr>
        <w:tabs>
          <w:tab w:val="left" w:pos="720" w:leader="none"/>
        </w:tabs>
        <w:ind w:firstLine="720" w:start="0" w:end="0"/>
        <w:jc w:val="both"/>
        <w:rPr>
          <w:rFonts w:ascii="Times New Roman" w:hAnsi="Times New Roman" w:cs="Times New Roman"/>
          <w:sz w:val="24"/>
        </w:rPr>
      </w:pPr>
      <w:r>
        <w:rPr>
          <w:rFonts w:cs="Times New Roman" w:ascii="Times New Roman" w:hAnsi="Times New Roman"/>
          <w:sz w:val="24"/>
        </w:rPr>
        <w:t xml:space="preserve">provide Enron, in a timely manner, with all of the information that Enron requests which is required for Enron to perform the Services and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8"/>
        </w:numPr>
        <w:tabs>
          <w:tab w:val="left" w:pos="720" w:leader="none"/>
        </w:tabs>
        <w:ind w:firstLine="720" w:start="0" w:end="0"/>
        <w:jc w:val="both"/>
        <w:rPr>
          <w:rFonts w:ascii="Times New Roman" w:hAnsi="Times New Roman" w:cs="Times New Roman"/>
          <w:sz w:val="24"/>
        </w:rPr>
      </w:pPr>
      <w:r>
        <w:rPr>
          <w:rFonts w:cs="Times New Roman" w:ascii="Times New Roman" w:hAnsi="Times New Roman"/>
          <w:sz w:val="24"/>
        </w:rPr>
        <w:t xml:space="preserve">provide Enron with copies of any agreements as requested which Bridgeline has executed or will execute with third parties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Independent Contractor</w:t>
      </w:r>
      <w:r>
        <w:rPr>
          <w:rFonts w:cs="Times New Roman" w:ascii="Times New Roman" w:hAnsi="Times New Roman"/>
          <w:sz w:val="24"/>
        </w:rPr>
        <w:t xml:space="preserve">.  It is agreed that Enron is an independent contractor and has full power and authority to select the means, methods, and manner of performing the Services herein set forth and is responsible to Bridgeline only for the results for which they have contracted. The performance of Enron pursuant to this Agreement shall be subject to the overall direction of the President.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Attorneys-in-Fact.</w:t>
      </w:r>
      <w:r>
        <w:rPr>
          <w:rFonts w:cs="Times New Roman" w:ascii="Times New Roman" w:hAnsi="Times New Roman"/>
          <w:sz w:val="24"/>
        </w:rPr>
        <w:t xml:space="preserve">  Bridgeline hereby appoints as its true and lawful attorneys-in-fact for the purpose of carrying out this Agreement, the officers of Bridgeline and such employees assigned to Bridgeline as the officers of Bridgeline may from time to time appoint.  In the event it becomes necessary or desirable to appoint any particular representative of Bridgeline as an attorney-in-fact for Bridgeline, Bridgeline agrees to do so in a form suitable for recording.</w:t>
      </w:r>
      <w:r>
        <w:br w:type="page"/>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Attorneys-at-Law</w:t>
      </w:r>
      <w:r>
        <w:rPr>
          <w:rFonts w:cs="Times New Roman" w:ascii="Times New Roman" w:hAnsi="Times New Roman"/>
          <w:sz w:val="24"/>
        </w:rPr>
        <w:t xml:space="preserve">.  Bridgeline may hereby appoint as its attorneys-at-law, certain designated attorneys employed by Texaco, Enron or outside counsel to advise and represent them in all matters relating to the Services as requested by the President.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Authority of Enron</w:t>
      </w:r>
      <w:r>
        <w:rPr>
          <w:rFonts w:cs="Times New Roman" w:ascii="Times New Roman" w:hAnsi="Times New Roman"/>
          <w:sz w:val="24"/>
        </w:rPr>
        <w:t>.  In the performance of the Services, Enron and its officers and employees are authorized to act either in the name of Enron or in the name of Bridgeline only at the consent of Bridgeline management and, if Enron, its officers or its employees is acting in the name of Bridgeline, they are authorized to disclose or not to disclose to third parties that its offices and employees so acting are employed by Enron.</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u w:val="single"/>
        </w:rPr>
        <w:t>Charges</w:t>
      </w:r>
      <w:r>
        <w:rPr>
          <w:rFonts w:cs="Times New Roman" w:ascii="Times New Roman" w:hAnsi="Times New Roman"/>
          <w:sz w:val="24"/>
        </w:rPr>
        <w:t xml:space="preserve">.  Enron will charge Bridgeline on a monthly basis for agreed upon service fee of $10,000.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Indemnification</w:t>
      </w:r>
      <w:r>
        <w:rPr>
          <w:rFonts w:cs="Times New Roman" w:ascii="Times New Roman" w:hAnsi="Times New Roman"/>
          <w:sz w:val="24"/>
        </w:rPr>
        <w:t xml:space="preserve">. Bridgeline agrees that they shall at all times during the term of this Agreement, fully defend, protect, indemnify and save harmless Enron, its directors, officers, employees, agents, and persons for which Enron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Bridgeline' sole negligence, the concurrent negligence in any combination of Enron and/or Bridgeline or the sole negligence of Enron, and whether liability for such personal injury or death or property damage is liability with or without fault, is imposed by operation of law, or is imposed on any theory of strict liability by operation of law; provided, however, that Bridgeline shall not indemnify Enron against the gross negligence or willful misconduct of Enron, its directors, officers, employees, agents, or persons for which Enron is responsible.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r>
        <w:br w:type="page"/>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Term</w:t>
      </w:r>
      <w:r>
        <w:rPr>
          <w:rFonts w:cs="Times New Roman" w:ascii="Times New Roman" w:hAnsi="Times New Roman"/>
          <w:sz w:val="24"/>
        </w:rPr>
        <w:t xml:space="preserve">.  This Service Agreement shall be effective a period of two (2) years, beginning June 1, 2000, and thereafter until terminated by any party giving one (1) year notice to the other parties of such party's intent to terminate this Service Agreement with respect to such party.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Audit</w:t>
      </w:r>
      <w:r>
        <w:rPr>
          <w:rFonts w:cs="Times New Roman" w:ascii="Times New Roman" w:hAnsi="Times New Roman"/>
          <w:sz w:val="24"/>
        </w:rPr>
        <w:t xml:space="preserve">.  At any time during the term of the Service Agreement and for a period of twenty-four (24) calendar months thereafter, Enron shall maintain and preserve and shall permit Bridgeline and its authorized representatives on giving reasonable prior notice to Enron to have access to and to audit all relevant books, records, receipts and other similar documents of Enron relating to the obligations of Enron under this Service Agreement.  Enron shall have the right to exclude any trade, technical or other proprietary information from the audit Enron shall permit Bridgeline, or any duly authorized representative of Bridgeline to have access during normal business hours to any documents, in whatever form, that Enron prepares pursuant to this Agreement. Bridgeline shall pay for any reasonable costs such as but not limited to copying costs for documents that Bridgeline requests.  If such information is in a computerized form, Enron shall allow Bridgeline to electronically duplicate such records, within the limitations of any applicable licenses with third parties.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Confidentiality and Ownership of Documents</w:t>
      </w:r>
      <w:r>
        <w:rPr>
          <w:rFonts w:cs="Times New Roman" w:ascii="Times New Roman" w:hAnsi="Times New Roman"/>
          <w:sz w:val="24"/>
        </w:rPr>
        <w:t>.</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All data and information supplied to or acquired by Enron in the course or as a consequence of the Services to be performed under this Agreement, but excluding any such data or information which Enron can demonstrate is generally available to the public otherwise than through unauthorized disclosure by Enron) ("Confidential Information") shall be held strictly confidential and shall not be reproduced or used for any purpose unrelated to the this Agreement or disclosed in any way to any third party without the prior consent of Bridgeline.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On the expiration or prior termination of this Agreement, Enron shall promptly deliver to Bridgeline any and all copies of the Confidential Information in its possession and shall purge all records written and electronic.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Enron shall use its best endeavors to minimize the risk of disclosure of the Confidential Information by ensuring that: a) only those employees and subcontractors whose duties will require them to possess any of such data or information shall have access thereto; b) all such employees and subcontractors are made aware of and observe the obligations as to confidentiality contained in this Clause II; and c) all Confidential Information that is subject to the attorney work product privilege and/or attorney-client privilege or privilege, and/or the privilege granted to federally authorized Credit practitioners, under United States federal law, is kept in segregated files and marked as "Privileged and Confidential," "Attorney-Client Privileged,” or "Attorney Work Product," as appropriate.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ind w:start="90" w:end="0"/>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Title to and copyright in all charts, reports, calculations and other documents or data supplied by Bridgeline to Enron for or in connection with this Agreement shall remain vested in Bridgeline.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Enron shall preserve all Confidential Information as required by the Bridgeline Records Management Manual however, upon expiration or prior termination of this Agreement, the obligations contained in this Clause 11 shall survive no longer than two (2) years.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Meetings</w:t>
      </w:r>
      <w:r>
        <w:rPr>
          <w:rFonts w:cs="Times New Roman" w:ascii="Times New Roman" w:hAnsi="Times New Roman"/>
          <w:sz w:val="24"/>
        </w:rPr>
        <w:t xml:space="preserve">.  Bridgeline and Enron shall meet periodically at a mutually agreed time and location to discuss the performance of the Services.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Third Parties</w:t>
      </w:r>
      <w:r>
        <w:rPr>
          <w:rFonts w:cs="Times New Roman" w:ascii="Times New Roman" w:hAnsi="Times New Roman"/>
          <w:sz w:val="24"/>
        </w:rPr>
        <w:t xml:space="preserve">, (a) Enron shall not engage any third to perform the Services without the prior consent of Bridgeline. Bridgeline shall pay the costs and expenses for the retention of such third parties.  Should Bridgeline engage any third parties to assist them, Enron shall, should Bridgeline request, reasonably assist such third party.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Governing Law</w:t>
      </w:r>
      <w:r>
        <w:rPr>
          <w:rFonts w:cs="Times New Roman" w:ascii="Times New Roman" w:hAnsi="Times New Roman"/>
          <w:sz w:val="24"/>
        </w:rPr>
        <w:t xml:space="preserve">.  This Service Agreement shall be governed by and construed in accordance with the laws of the State of [Texas].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Severability</w:t>
      </w:r>
      <w:r>
        <w:rPr>
          <w:rFonts w:cs="Times New Roman" w:ascii="Times New Roman" w:hAnsi="Times New Roman"/>
          <w:sz w:val="24"/>
        </w:rPr>
        <w:t xml:space="preserve">.  If any provision of this Agreement is deemed void, invalid, or unenforceable by any court or tribunal of competent Jurisdiction, such provision shall be stricken from this Agreement without effect on the remaining provisions of the Agreement as a whole.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81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Notices</w:t>
      </w:r>
      <w:r>
        <w:rPr>
          <w:rFonts w:cs="Times New Roman" w:ascii="Times New Roman" w:hAnsi="Times New Roman"/>
          <w:sz w:val="24"/>
        </w:rPr>
        <w:t xml:space="preserve">. Except as otherwise specifically provided, all notices authorized or required between Bridgeline and Enron, by any of the provisions of this Agreement, shall be in writing, in English and delivered in person or by courier service or by any electronic means of transmitting written communications which, provides written confirmation of complete transmission, and addressed to such Parties as designated below.  Oral communication does not constitute notice for purposes of this Agreement, and telephone numbers for the Parties are listed below as a matter of convenience only. The originating notice given under any provision of this Agreement shall be deemed delivered only when received by the Party to whom such notice is directed, and the time for such Party to deliver any notice in response to such originating notice shall tun from the date the originating notice is received.  The second or any responsive notice shall be deemed delivered when received. "Received" for purposes of this Clause 17 shall mean actual delivery of the notice to the address of the Party to be notified specified in accordance with this Clause 17. Each Party shall have the right to change its address at any time and/or designate that copies of all such notices be directed to another person at another address, by giving notice thereof to ail other Parties.  </w:t>
      </w:r>
      <w:r>
        <w:br w:type="page"/>
      </w:r>
    </w:p>
    <w:p>
      <w:pPr>
        <w:pStyle w:val="Header"/>
        <w:tabs>
          <w:tab w:val="clear" w:pos="4320"/>
          <w:tab w:val="clear" w:pos="8640"/>
        </w:tabs>
        <w:rPr>
          <w:rFonts w:ascii="Times New Roman" w:hAnsi="Times New Roman" w:cs="Times New Roman"/>
          <w:sz w:val="24"/>
        </w:rPr>
      </w:pPr>
      <w:r>
        <w:rPr>
          <w:rFonts w:cs="Times New Roman"/>
          <w:sz w:val="24"/>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If to Bridgeline</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Bridgeline Holdings, L.P.</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333 Clay Street, Suite 4400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Attention: Randy Curry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 xml:space="preserve">Telecopy: </w:t>
              <w:tab/>
              <w:t>713 646-6009</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Telephone:</w:t>
              <w:tab/>
              <w:t>713 345 5806</w:t>
            </w:r>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If to Enron: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Enron Corp.</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1400 Smith Street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Houston, TX 77002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 xml:space="preserve">Attention: Bill Bradford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Telecopy:</w:t>
              <w:tab/>
              <w:t xml:space="preserve">713 853-9476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t>Telephone:</w:t>
              <w:tab/>
              <w:t>713 853-3831</w:t>
            </w:r>
          </w:p>
        </w:tc>
      </w:tr>
    </w:tbl>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right" w:pos="4320" w:leader="none"/>
        </w:tabs>
        <w:jc w:val="both"/>
        <w:rPr/>
      </w:pPr>
      <w:r>
        <w:rPr>
          <w:rFonts w:cs="Times New Roman" w:ascii="Times New Roman" w:hAnsi="Times New Roman"/>
          <w:sz w:val="24"/>
        </w:rPr>
        <w:t>By:</w:t>
      </w:r>
      <w:r>
        <w:rPr>
          <w:rFonts w:cs="Times New Roman" w:ascii="Times New Roman" w:hAnsi="Times New Roman"/>
          <w:sz w:val="24"/>
          <w:u w:val="single"/>
        </w:rPr>
        <w:tab/>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Name:</w:t>
        <w:tab/>
        <w:t>___________________________</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Title:</w:t>
        <w:tab/>
        <w:t>___________________________</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r>
        <w:br w:type="page"/>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jc w:val="center"/>
        <w:rPr>
          <w:rFonts w:ascii="Times New Roman" w:hAnsi="Times New Roman" w:cs="Times New Roman"/>
          <w:b/>
          <w:sz w:val="24"/>
        </w:rPr>
      </w:pPr>
      <w:r>
        <w:rPr>
          <w:rFonts w:cs="Times New Roman" w:ascii="Times New Roman" w:hAnsi="Times New Roman"/>
          <w:b/>
          <w:sz w:val="24"/>
        </w:rPr>
        <w:t>Agreement for Credit Services</w:t>
      </w:r>
    </w:p>
    <w:p>
      <w:pPr>
        <w:pStyle w:val="PlainText"/>
        <w:jc w:val="center"/>
        <w:rPr>
          <w:rFonts w:ascii="Times New Roman" w:hAnsi="Times New Roman" w:cs="Times New Roman"/>
          <w:b/>
          <w:sz w:val="24"/>
        </w:rPr>
      </w:pPr>
      <w:r>
        <w:rPr>
          <w:rFonts w:cs="Times New Roman" w:ascii="Times New Roman" w:hAnsi="Times New Roman"/>
          <w:b/>
          <w:sz w:val="24"/>
        </w:rPr>
        <w:t>between</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Bridgeline Holdings, L. P. and Enron Corp.</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1</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Services</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Normal"/>
        <w:widowControl w:val="false"/>
        <w:numPr>
          <w:ilvl w:val="0"/>
          <w:numId w:val="10"/>
        </w:numPr>
        <w:tabs>
          <w:tab w:val="clear" w:pos="720"/>
          <w:tab w:val="left" w:pos="734" w:leader="none"/>
        </w:tabs>
        <w:spacing w:lineRule="atLeast" w:line="408"/>
        <w:ind w:hanging="360" w:start="734" w:end="0"/>
        <w:rPr>
          <w:sz w:val="24"/>
        </w:rPr>
      </w:pPr>
      <w:r>
        <w:rPr>
          <w:sz w:val="24"/>
        </w:rPr>
        <w:t>Negotiate and obtain parent guarantees from customers</w:t>
      </w:r>
    </w:p>
    <w:p>
      <w:pPr>
        <w:pStyle w:val="Normal"/>
        <w:widowControl w:val="false"/>
        <w:numPr>
          <w:ilvl w:val="0"/>
          <w:numId w:val="16"/>
        </w:numPr>
        <w:tabs>
          <w:tab w:val="clear" w:pos="720"/>
          <w:tab w:val="left" w:pos="734" w:leader="none"/>
        </w:tabs>
        <w:spacing w:lineRule="atLeast" w:line="68"/>
        <w:ind w:hanging="360" w:start="734" w:end="0"/>
        <w:rPr>
          <w:sz w:val="24"/>
        </w:rPr>
      </w:pPr>
      <w:r>
        <w:rPr>
          <w:sz w:val="24"/>
        </w:rPr>
        <w:t>Negotiate and issue Bridgeline Holdings guaranties</w:t>
      </w:r>
    </w:p>
    <w:p>
      <w:pPr>
        <w:pStyle w:val="Normal"/>
        <w:widowControl w:val="false"/>
        <w:numPr>
          <w:ilvl w:val="0"/>
          <w:numId w:val="2"/>
        </w:numPr>
        <w:tabs>
          <w:tab w:val="clear" w:pos="720"/>
          <w:tab w:val="left" w:pos="734" w:leader="none"/>
        </w:tabs>
        <w:spacing w:lineRule="atLeast" w:line="68"/>
        <w:ind w:hanging="360" w:start="734" w:end="0"/>
        <w:rPr>
          <w:sz w:val="24"/>
        </w:rPr>
      </w:pPr>
      <w:r>
        <w:rPr>
          <w:sz w:val="24"/>
        </w:rPr>
        <w:t>Negotiate and issue JV parent guaranties</w:t>
      </w:r>
    </w:p>
    <w:p>
      <w:pPr>
        <w:pStyle w:val="Normal"/>
        <w:widowControl w:val="false"/>
        <w:numPr>
          <w:ilvl w:val="0"/>
          <w:numId w:val="6"/>
        </w:numPr>
        <w:tabs>
          <w:tab w:val="clear" w:pos="720"/>
          <w:tab w:val="left" w:pos="734" w:leader="none"/>
        </w:tabs>
        <w:spacing w:lineRule="atLeast" w:line="72"/>
        <w:ind w:hanging="360" w:start="734" w:end="0"/>
        <w:rPr>
          <w:sz w:val="24"/>
        </w:rPr>
      </w:pPr>
      <w:r>
        <w:rPr>
          <w:sz w:val="24"/>
        </w:rPr>
        <w:t>Negotiate and implement netting agreements</w:t>
      </w:r>
    </w:p>
    <w:p>
      <w:pPr>
        <w:pStyle w:val="Normal"/>
        <w:widowControl w:val="false"/>
        <w:numPr>
          <w:ilvl w:val="0"/>
          <w:numId w:val="18"/>
        </w:numPr>
        <w:tabs>
          <w:tab w:val="clear" w:pos="720"/>
          <w:tab w:val="left" w:pos="734" w:leader="none"/>
        </w:tabs>
        <w:spacing w:lineRule="atLeast" w:line="64"/>
        <w:ind w:hanging="360" w:start="734" w:end="0"/>
        <w:rPr>
          <w:sz w:val="24"/>
        </w:rPr>
      </w:pPr>
      <w:r>
        <w:rPr>
          <w:sz w:val="24"/>
        </w:rPr>
        <w:t>Establish customer credit ratings, lines, and tenor limits</w:t>
      </w:r>
    </w:p>
    <w:p>
      <w:pPr>
        <w:pStyle w:val="Normal"/>
        <w:widowControl w:val="false"/>
        <w:numPr>
          <w:ilvl w:val="0"/>
          <w:numId w:val="4"/>
        </w:numPr>
        <w:tabs>
          <w:tab w:val="clear" w:pos="720"/>
          <w:tab w:val="left" w:pos="734" w:leader="none"/>
        </w:tabs>
        <w:spacing w:lineRule="atLeast" w:line="68"/>
        <w:ind w:hanging="360" w:start="734" w:end="0"/>
        <w:rPr>
          <w:sz w:val="24"/>
        </w:rPr>
      </w:pPr>
      <w:r>
        <w:rPr>
          <w:sz w:val="24"/>
        </w:rPr>
        <w:t>Review credit worthiness of customers</w:t>
      </w:r>
    </w:p>
    <w:p>
      <w:pPr>
        <w:pStyle w:val="Normal"/>
        <w:widowControl w:val="false"/>
        <w:numPr>
          <w:ilvl w:val="0"/>
          <w:numId w:val="17"/>
        </w:numPr>
        <w:tabs>
          <w:tab w:val="clear" w:pos="720"/>
          <w:tab w:val="left" w:pos="734" w:leader="none"/>
        </w:tabs>
        <w:spacing w:lineRule="atLeast" w:line="64"/>
        <w:ind w:hanging="360" w:start="734" w:end="0"/>
        <w:rPr>
          <w:sz w:val="24"/>
        </w:rPr>
      </w:pPr>
      <w:r>
        <w:rPr>
          <w:sz w:val="24"/>
        </w:rPr>
        <w:t>Obtain and manage collateral holdings, i.e. details of posted collateral</w:t>
      </w:r>
    </w:p>
    <w:p>
      <w:pPr>
        <w:pStyle w:val="Normal"/>
        <w:widowControl w:val="false"/>
        <w:numPr>
          <w:ilvl w:val="0"/>
          <w:numId w:val="15"/>
        </w:numPr>
        <w:tabs>
          <w:tab w:val="clear" w:pos="720"/>
          <w:tab w:val="left" w:pos="734" w:leader="none"/>
        </w:tabs>
        <w:spacing w:lineRule="atLeast" w:line="72"/>
        <w:ind w:hanging="360" w:start="734" w:end="0"/>
        <w:rPr>
          <w:sz w:val="24"/>
        </w:rPr>
      </w:pPr>
      <w:r>
        <w:rPr>
          <w:sz w:val="24"/>
        </w:rPr>
        <w:t>Monitoring of customer exposures</w:t>
      </w:r>
    </w:p>
    <w:p>
      <w:pPr>
        <w:pStyle w:val="Normal"/>
        <w:widowControl w:val="false"/>
        <w:numPr>
          <w:ilvl w:val="0"/>
          <w:numId w:val="11"/>
        </w:numPr>
        <w:tabs>
          <w:tab w:val="clear" w:pos="720"/>
          <w:tab w:val="left" w:pos="734" w:leader="none"/>
        </w:tabs>
        <w:spacing w:lineRule="atLeast" w:line="68"/>
        <w:ind w:hanging="360" w:start="734" w:end="0"/>
        <w:rPr>
          <w:sz w:val="24"/>
        </w:rPr>
      </w:pPr>
      <w:r>
        <w:rPr>
          <w:sz w:val="24"/>
        </w:rPr>
        <w:t>Ongoing counterparty credit assessments (bi-annual, annual and semi-annual credit reviews)</w:t>
      </w:r>
    </w:p>
    <w:p>
      <w:pPr>
        <w:pStyle w:val="Normal"/>
        <w:widowControl w:val="false"/>
        <w:numPr>
          <w:ilvl w:val="0"/>
          <w:numId w:val="5"/>
        </w:numPr>
        <w:tabs>
          <w:tab w:val="clear" w:pos="720"/>
          <w:tab w:val="left" w:pos="734" w:leader="none"/>
        </w:tabs>
        <w:spacing w:lineRule="atLeast" w:line="64"/>
        <w:ind w:hanging="360" w:start="734" w:end="0"/>
        <w:rPr>
          <w:sz w:val="24"/>
        </w:rPr>
      </w:pPr>
      <w:r>
        <w:rPr>
          <w:sz w:val="24"/>
        </w:rPr>
        <w:t>Master Contract negotiations - including negotiation of credit related provisions in contractual agreements (e.g., ISDA's)</w:t>
      </w:r>
    </w:p>
    <w:p>
      <w:pPr>
        <w:pStyle w:val="Normal"/>
        <w:widowControl w:val="false"/>
        <w:numPr>
          <w:ilvl w:val="0"/>
          <w:numId w:val="1"/>
        </w:numPr>
        <w:tabs>
          <w:tab w:val="clear" w:pos="720"/>
          <w:tab w:val="left" w:pos="734" w:leader="none"/>
        </w:tabs>
        <w:spacing w:lineRule="atLeast" w:line="120"/>
        <w:ind w:hanging="360" w:start="734" w:end="0"/>
        <w:rPr>
          <w:sz w:val="24"/>
        </w:rPr>
      </w:pPr>
      <w:r>
        <w:rPr>
          <w:sz w:val="24"/>
        </w:rPr>
        <w:t>Integration of credit aggregation systems with trading books and accounting systems</w:t>
      </w:r>
    </w:p>
    <w:p>
      <w:pPr>
        <w:pStyle w:val="Normal"/>
        <w:widowControl w:val="false"/>
        <w:numPr>
          <w:ilvl w:val="0"/>
          <w:numId w:val="9"/>
        </w:numPr>
        <w:tabs>
          <w:tab w:val="clear" w:pos="720"/>
          <w:tab w:val="left" w:pos="734" w:leader="none"/>
        </w:tabs>
        <w:spacing w:lineRule="atLeast" w:line="72"/>
        <w:ind w:hanging="360" w:start="734" w:end="0"/>
        <w:rPr>
          <w:sz w:val="24"/>
        </w:rPr>
      </w:pPr>
      <w:r>
        <w:rPr>
          <w:sz w:val="24"/>
        </w:rPr>
        <w:t>Transactional review and reporting of compliance standards</w:t>
      </w:r>
    </w:p>
    <w:p>
      <w:pPr>
        <w:pStyle w:val="Normal"/>
        <w:widowControl w:val="false"/>
        <w:numPr>
          <w:ilvl w:val="0"/>
          <w:numId w:val="7"/>
        </w:numPr>
        <w:tabs>
          <w:tab w:val="clear" w:pos="720"/>
          <w:tab w:val="left" w:pos="734" w:leader="none"/>
        </w:tabs>
        <w:spacing w:lineRule="atLeast" w:line="72"/>
        <w:ind w:hanging="360" w:start="734" w:end="0"/>
        <w:rPr>
          <w:sz w:val="24"/>
        </w:rPr>
      </w:pPr>
      <w:r>
        <w:rPr>
          <w:sz w:val="24"/>
        </w:rPr>
        <w:t>Obtain collateral where required</w:t>
      </w:r>
    </w:p>
    <w:p>
      <w:pPr>
        <w:pStyle w:val="Normal"/>
        <w:widowControl w:val="false"/>
        <w:numPr>
          <w:ilvl w:val="0"/>
          <w:numId w:val="12"/>
        </w:numPr>
        <w:tabs>
          <w:tab w:val="clear" w:pos="720"/>
          <w:tab w:val="left" w:pos="734" w:leader="none"/>
        </w:tabs>
        <w:spacing w:lineRule="atLeast" w:line="68"/>
        <w:ind w:hanging="360" w:start="734" w:end="0"/>
        <w:rPr>
          <w:sz w:val="24"/>
        </w:rPr>
      </w:pPr>
      <w:r>
        <w:rPr>
          <w:sz w:val="24"/>
        </w:rPr>
        <w:t>A/R collection issues</w:t>
      </w:r>
    </w:p>
    <w:p>
      <w:pPr>
        <w:pStyle w:val="Normal"/>
        <w:widowControl w:val="false"/>
        <w:numPr>
          <w:ilvl w:val="0"/>
          <w:numId w:val="3"/>
        </w:numPr>
        <w:tabs>
          <w:tab w:val="clear" w:pos="720"/>
          <w:tab w:val="left" w:pos="734" w:leader="none"/>
        </w:tabs>
        <w:ind w:hanging="360" w:start="734" w:end="0"/>
        <w:rPr>
          <w:sz w:val="24"/>
        </w:rPr>
      </w:pPr>
      <w:r>
        <w:rPr>
          <w:sz w:val="24"/>
        </w:rPr>
        <w:t>Monitor adherence to the credit policy</w:t>
      </w:r>
    </w:p>
    <w:p>
      <w:pPr>
        <w:pStyle w:val="PlainText"/>
        <w:tabs>
          <w:tab w:val="clear" w:pos="720"/>
          <w:tab w:val="left" w:pos="1080" w:leader="none"/>
          <w:tab w:val="left" w:pos="1440" w:leader="none"/>
        </w:tabs>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r>
  </w:p>
  <w:p>
    <w:pPr>
      <w:pStyle w:val="Header"/>
      <w:rPr>
        <w:rFonts w:ascii="Times New Roman" w:hAnsi="Times New Roman" w:cs="Times New Roman"/>
        <w:b/>
        <w:sz w:val="24"/>
      </w:rPr>
    </w:pPr>
    <w:r>
      <w:rPr>
        <w:rFonts w:cs="Times New Roman"/>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Letter"/>
      <w:lvlText w:val="(%1)"/>
      <w:lvlJc w:val="start"/>
      <w:pPr>
        <w:tabs>
          <w:tab w:val="num" w:pos="2160"/>
        </w:tabs>
        <w:ind w:start="2160" w:hanging="720"/>
      </w:pPr>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2001-01-31T17:17:00Z</dcterms:created>
  <dc:creator>lokeefe</dc:creator>
  <dc:description/>
  <dc:language>en-CA</dc:language>
  <cp:lastModifiedBy>Trevor Mihalik</cp:lastModifiedBy>
  <cp:lastPrinted>2000-12-12T17:43:00Z</cp:lastPrinted>
  <dcterms:modified xsi:type="dcterms:W3CDTF">2001-01-31T17:17:00Z</dcterms:modified>
  <cp:revision>2</cp:revision>
  <dc:subject/>
  <dc:title>Agreement for Tax Services</dc:title>
</cp:coreProperties>
</file>