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media/image2.wmf" ContentType="image/x-wmf"/>
  <Override PartName="/word/media/image3.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1044" w:type="dxa"/>
        <w:jc w:val="start"/>
        <w:tblInd w:w="0" w:type="dxa"/>
        <w:tblLayout w:type="fixed"/>
        <w:tblCellMar>
          <w:top w:w="0" w:type="dxa"/>
          <w:start w:w="108" w:type="dxa"/>
          <w:bottom w:w="0" w:type="dxa"/>
          <w:end w:w="108" w:type="dxa"/>
        </w:tblCellMar>
      </w:tblPr>
      <w:tblGrid>
        <w:gridCol w:w="1384"/>
        <w:gridCol w:w="810"/>
        <w:gridCol w:w="324"/>
        <w:gridCol w:w="1870"/>
        <w:gridCol w:w="965"/>
        <w:gridCol w:w="54"/>
        <w:gridCol w:w="1175"/>
        <w:gridCol w:w="756"/>
        <w:gridCol w:w="600"/>
        <w:gridCol w:w="838"/>
        <w:gridCol w:w="2268"/>
      </w:tblGrid>
      <w:tr>
        <w:trPr>
          <w:trHeight w:val="609" w:hRule="atLeast"/>
        </w:trPr>
        <w:tc>
          <w:tcPr>
            <w:tcW w:w="1384" w:type="dxa"/>
            <w:tcBorders>
              <w:top w:val="single" w:sz="12" w:space="0" w:color="000000"/>
              <w:start w:val="single" w:sz="12" w:space="0" w:color="000000"/>
            </w:tcBorders>
          </w:tcPr>
          <w:p>
            <w:pPr>
              <w:pStyle w:val="Normal"/>
              <w:tabs>
                <w:tab w:val="clear" w:pos="720"/>
                <w:tab w:val="left" w:pos="9450" w:leader="none"/>
                <w:tab w:val="left" w:pos="9540" w:leader="none"/>
              </w:tabs>
              <w:rPr>
                <w:rFonts w:ascii="Arial" w:hAnsi="Arial" w:cs="Arial"/>
                <w:sz w:val="22"/>
              </w:rPr>
            </w:pPr>
            <w:r>
              <w:rPr>
                <w:rFonts w:cs="Arial" w:ascii="Arial" w:hAnsi="Arial"/>
              </w:rPr>
              <w:drawing>
                <wp:inline distT="0" distB="0" distL="0" distR="0">
                  <wp:extent cx="381635" cy="39243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16" t="-16" r="-16" b="-16"/>
                          <a:stretch>
                            <a:fillRect/>
                          </a:stretch>
                        </pic:blipFill>
                        <pic:spPr bwMode="auto">
                          <a:xfrm>
                            <a:off x="0" y="0"/>
                            <a:ext cx="381635" cy="392430"/>
                          </a:xfrm>
                          <a:prstGeom prst="rect">
                            <a:avLst/>
                          </a:prstGeom>
                          <a:noFill/>
                        </pic:spPr>
                      </pic:pic>
                    </a:graphicData>
                  </a:graphic>
                </wp:inline>
              </w:drawing>
            </w:r>
          </w:p>
        </w:tc>
        <w:tc>
          <w:tcPr>
            <w:tcW w:w="5954" w:type="dxa"/>
            <w:gridSpan w:val="7"/>
            <w:tcBorders>
              <w:top w:val="single" w:sz="12" w:space="0" w:color="000000"/>
            </w:tcBorders>
          </w:tcPr>
          <w:p>
            <w:pPr>
              <w:pStyle w:val="Heading1"/>
              <w:rPr>
                <w:b w:val="false"/>
              </w:rPr>
            </w:pPr>
            <w:r>
              <w:rPr>
                <w:b w:val="false"/>
              </w:rPr>
              <w:t>Base Metals Crammer</w:t>
            </w:r>
          </w:p>
        </w:tc>
        <w:tc>
          <w:tcPr>
            <w:tcW w:w="3706" w:type="dxa"/>
            <w:gridSpan w:val="3"/>
            <w:tcBorders>
              <w:top w:val="single" w:sz="12" w:space="0" w:color="000000"/>
              <w:end w:val="single" w:sz="12" w:space="0" w:color="000000"/>
            </w:tcBorders>
          </w:tcPr>
          <w:p>
            <w:pPr>
              <w:pStyle w:val="Normal"/>
              <w:tabs>
                <w:tab w:val="clear" w:pos="720"/>
                <w:tab w:val="left" w:pos="9450" w:leader="none"/>
                <w:tab w:val="left" w:pos="9540" w:leader="none"/>
              </w:tabs>
              <w:jc w:val="end"/>
              <w:rPr>
                <w:rFonts w:ascii="Arial" w:hAnsi="Arial" w:cs="Arial"/>
                <w:sz w:val="36"/>
              </w:rPr>
            </w:pPr>
            <w:r>
              <w:rPr>
                <w:rFonts w:cs="Arial" w:ascii="Arial" w:hAnsi="Arial"/>
                <w:color w:val="FF0000"/>
                <w:sz w:val="36"/>
              </w:rPr>
              <w:t>Thurs 25</w:t>
            </w:r>
            <w:r>
              <w:rPr>
                <w:rFonts w:cs="Arial" w:ascii="Arial" w:hAnsi="Arial"/>
                <w:color w:val="FF0000"/>
                <w:sz w:val="36"/>
                <w:vertAlign w:val="superscript"/>
              </w:rPr>
              <w:t>th</w:t>
            </w:r>
            <w:r>
              <w:rPr>
                <w:rFonts w:cs="Arial" w:ascii="Arial" w:hAnsi="Arial"/>
                <w:color w:val="FF0000"/>
                <w:sz w:val="36"/>
              </w:rPr>
              <w:t xml:space="preserve"> Jan 2001 </w:t>
            </w:r>
          </w:p>
        </w:tc>
      </w:tr>
      <w:tr>
        <w:trPr>
          <w:trHeight w:val="220" w:hRule="atLeast"/>
        </w:trPr>
        <w:tc>
          <w:tcPr>
            <w:tcW w:w="11044" w:type="dxa"/>
            <w:gridSpan w:val="11"/>
            <w:tcBorders>
              <w:top w:val="single" w:sz="6" w:space="0" w:color="000000"/>
              <w:start w:val="single" w:sz="12" w:space="0" w:color="000000"/>
              <w:end w:val="single" w:sz="12" w:space="0" w:color="000000"/>
            </w:tcBorders>
          </w:tcPr>
          <w:p>
            <w:pPr>
              <w:pStyle w:val="Normal"/>
              <w:jc w:val="both"/>
              <w:rPr>
                <w:rFonts w:ascii="Arial" w:hAnsi="Arial" w:cs="Arial"/>
                <w:sz w:val="18"/>
              </w:rPr>
            </w:pPr>
            <w:r>
              <w:rPr>
                <w:rFonts w:cs="Arial" w:ascii="Arial" w:hAnsi="Arial"/>
                <w:sz w:val="18"/>
              </w:rPr>
              <w:t>Of all the base metals, power prices are a large part of aluminium smelting costs.  This explains why new smelter capacity is increasingly sited near sources of cheap power, for example using natural gas in the Gulf, and hydro or thermo power in Scandinavia.  For a metals guy, power seems a little mysterious, luckily there is a wealth of publicly available data.</w:t>
            </w:r>
          </w:p>
          <w:p>
            <w:pPr>
              <w:pStyle w:val="Normal"/>
              <w:jc w:val="both"/>
              <w:rPr>
                <w:rFonts w:ascii="Arial" w:hAnsi="Arial" w:cs="Arial"/>
                <w:sz w:val="18"/>
              </w:rPr>
            </w:pPr>
            <w:r>
              <w:rPr>
                <w:rFonts w:cs="Arial" w:ascii="Arial" w:hAnsi="Arial"/>
                <w:sz w:val="18"/>
              </w:rPr>
              <w:t>In the Pacific north west, the power deregulation of the late 1990s encouraged some smelters to reduce their power dependency on longer term fixed price contracts from hydro power sources, instead choosing to take some exposure to the free market price.  But the free market power price has risen to levels where aluminium smelting is uneconomic, because of a combination of factors including low water tables, environmental concern over salmon runs, seasonal higher demand from neighbouring states, cold weather, generation problems and environmental opposition to certain types of power plant construction.  Doing some simple sums when considering an aluminium smelter project, the major costs are alumina + power + capital (&amp; interest) + other costs (labour, margin).  Looking at alumina first:</w:t>
            </w:r>
          </w:p>
          <w:p>
            <w:pPr>
              <w:pStyle w:val="BodyText3"/>
              <w:rPr/>
            </w:pPr>
            <w:r>
              <w:rPr/>
              <w:t>Alumina prices range between $150-$400/mt, and it takes approx. 2 mt of alumina to make 1mt of aluminium.  Current alumina prices are around $150/mt, unsurprising given that over 1million mt of N. American smelter capacity is shut at the moment.  So alumina costs are around $300/mt of primary aluminium, rising to $800/mt of aluminium if alumina ever gets back up to $400/mt.  Taking a look at power:</w:t>
            </w:r>
          </w:p>
          <w:p>
            <w:pPr>
              <w:pStyle w:val="Normal"/>
              <w:jc w:val="both"/>
              <w:rPr/>
            </w:pPr>
            <w:r>
              <w:rPr>
                <w:rFonts w:cs="Arial" w:ascii="Arial" w:hAnsi="Arial"/>
                <w:sz w:val="18"/>
              </w:rPr>
              <w:t>As an approximation, aluminium smelting uses 16 Mega Watts (16 MW) for every tonne of aluminium produced.  New aluminium smelter projects will look for power prices in the $10-$20/MWhr range, for a running power cost of between $160-$320/mt of aluminium</w:t>
            </w:r>
            <w:r>
              <w:rPr>
                <w:rFonts w:cs="Arial" w:ascii="Arial" w:hAnsi="Arial"/>
                <w:b/>
                <w:sz w:val="18"/>
              </w:rPr>
              <w:t>. The chart on the left</w:t>
            </w:r>
            <w:r>
              <w:rPr>
                <w:rFonts w:cs="Arial" w:ascii="Arial" w:hAnsi="Arial"/>
                <w:sz w:val="18"/>
              </w:rPr>
              <w:t xml:space="preserve"> shows the power cost in US$/mt of primary aluminium against a wide range of power prices in US$/MWhr.  The extreme bottom left of the chart (circled) shows typical European and Gulf power costs in the $10-$20/MWhr range (x-axis), corresponding to $160-$320/mt of primary aluminium cost.  But power prices in the Pacific NW have peaked beyond the scale of this chart, implying power costs per mt of aluminium far in excess of $9000/mt.  </w:t>
            </w:r>
            <w:r>
              <w:rPr>
                <w:rFonts w:cs="Arial" w:ascii="Arial" w:hAnsi="Arial"/>
                <w:b/>
                <w:sz w:val="18"/>
              </w:rPr>
              <w:t>The chart on the right</w:t>
            </w:r>
            <w:r>
              <w:rPr>
                <w:rFonts w:cs="Arial" w:ascii="Arial" w:hAnsi="Arial"/>
                <w:sz w:val="18"/>
              </w:rPr>
              <w:t xml:space="preserve"> shows the 27m LME aluminium forward curve over the past 4 days (bold red line most recent), which puts the power price component into perspective. </w:t>
            </w:r>
          </w:p>
          <w:p>
            <w:pPr>
              <w:pStyle w:val="Normal"/>
              <w:jc w:val="both"/>
              <w:rPr>
                <w:rFonts w:ascii="Arial" w:hAnsi="Arial" w:cs="Arial"/>
                <w:sz w:val="18"/>
              </w:rPr>
            </w:pPr>
            <w:r>
              <w:rPr>
                <w:rFonts w:cs="Arial" w:ascii="Arial" w:hAnsi="Arial"/>
                <w:sz w:val="18"/>
              </w:rPr>
              <w:t>The peak power price risk in this region dwarfs any other variable risk for a smelter, which explains why over 1million mt of capacity out of 1.655 million mt of NW smelter capacity has already shut.</w:t>
            </w:r>
          </w:p>
        </w:tc>
      </w:tr>
      <w:tr>
        <w:trPr>
          <w:trHeight w:val="220" w:hRule="atLeast"/>
        </w:trPr>
        <w:tc>
          <w:tcPr>
            <w:tcW w:w="5407" w:type="dxa"/>
            <w:gridSpan w:val="6"/>
            <w:tcBorders>
              <w:top w:val="single" w:sz="6" w:space="0" w:color="000000"/>
              <w:start w:val="single" w:sz="12" w:space="0" w:color="000000"/>
              <w:bottom w:val="single" w:sz="6" w:space="0" w:color="000000"/>
              <w:end w:val="single" w:sz="6" w:space="0" w:color="000000"/>
            </w:tcBorders>
          </w:tcPr>
          <w:p>
            <w:pPr>
              <w:pStyle w:val="Normal"/>
              <w:jc w:val="both"/>
              <w:rPr>
                <w:rFonts w:ascii="Arial" w:hAnsi="Arial" w:cs="Arial"/>
              </w:rPr>
            </w:pPr>
            <w:r>
              <w:rPr>
                <w:rFonts w:cs="Arial" w:ascii="Arial" w:hAnsi="Arial"/>
              </w:rPr>
              <w:drawing>
                <wp:inline distT="0" distB="0" distL="0" distR="0">
                  <wp:extent cx="3295015" cy="1759585"/>
                  <wp:effectExtent l="0" t="0" r="0" b="0"/>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3"/>
                          <a:srcRect l="-8" t="-15" r="-8" b="-15"/>
                          <a:stretch>
                            <a:fillRect/>
                          </a:stretch>
                        </pic:blipFill>
                        <pic:spPr bwMode="auto">
                          <a:xfrm>
                            <a:off x="0" y="0"/>
                            <a:ext cx="3295015" cy="1759585"/>
                          </a:xfrm>
                          <a:prstGeom prst="rect">
                            <a:avLst/>
                          </a:prstGeom>
                          <a:noFill/>
                        </pic:spPr>
                      </pic:pic>
                    </a:graphicData>
                  </a:graphic>
                </wp:inline>
              </w:drawing>
            </w:r>
          </w:p>
        </w:tc>
        <w:tc>
          <w:tcPr>
            <w:tcW w:w="5637" w:type="dxa"/>
            <w:gridSpan w:val="5"/>
            <w:tcBorders>
              <w:top w:val="single" w:sz="6" w:space="0" w:color="000000"/>
              <w:start w:val="single" w:sz="6" w:space="0" w:color="000000"/>
              <w:bottom w:val="single" w:sz="6" w:space="0" w:color="000000"/>
              <w:end w:val="single" w:sz="12" w:space="0" w:color="000000"/>
            </w:tcBorders>
          </w:tcPr>
          <w:p>
            <w:pPr>
              <w:pStyle w:val="Normal"/>
              <w:rPr/>
            </w:pPr>
            <w:r>
              <w:rPr/>
              <w:drawing>
                <wp:inline distT="0" distB="0" distL="0" distR="0">
                  <wp:extent cx="3355340" cy="1794510"/>
                  <wp:effectExtent l="0" t="0" r="0" b="0"/>
                  <wp:docPr id="3"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title=""/>
                          <pic:cNvPicPr>
                            <a:picLocks noChangeAspect="1" noChangeArrowheads="1"/>
                          </pic:cNvPicPr>
                        </pic:nvPicPr>
                        <pic:blipFill>
                          <a:blip r:embed="rId4"/>
                          <a:srcRect l="-10" t="-19" r="-10" b="-19"/>
                          <a:stretch>
                            <a:fillRect/>
                          </a:stretch>
                        </pic:blipFill>
                        <pic:spPr bwMode="auto">
                          <a:xfrm>
                            <a:off x="0" y="0"/>
                            <a:ext cx="3355340" cy="1794510"/>
                          </a:xfrm>
                          <a:prstGeom prst="rect">
                            <a:avLst/>
                          </a:prstGeom>
                          <a:noFill/>
                        </pic:spPr>
                      </pic:pic>
                    </a:graphicData>
                  </a:graphic>
                </wp:inline>
              </w:drawing>
            </w:r>
          </w:p>
        </w:tc>
      </w:tr>
      <w:tr>
        <w:trPr>
          <w:trHeight w:val="220" w:hRule="atLeast"/>
        </w:trPr>
        <w:tc>
          <w:tcPr>
            <w:tcW w:w="11044" w:type="dxa"/>
            <w:gridSpan w:val="11"/>
            <w:tcBorders>
              <w:top w:val="single" w:sz="6" w:space="0" w:color="000000"/>
              <w:start w:val="single" w:sz="12" w:space="0" w:color="000000"/>
              <w:end w:val="single" w:sz="12" w:space="0" w:color="000000"/>
            </w:tcBorders>
          </w:tcPr>
          <w:p>
            <w:pPr>
              <w:pStyle w:val="Normal"/>
              <w:jc w:val="both"/>
              <w:rPr>
                <w:rFonts w:ascii="Arial" w:hAnsi="Arial" w:cs="Arial"/>
                <w:sz w:val="18"/>
              </w:rPr>
            </w:pPr>
            <w:r>
              <w:rPr>
                <w:rFonts w:cs="Arial" w:ascii="Arial" w:hAnsi="Arial"/>
                <w:sz w:val="18"/>
              </w:rPr>
              <w:t>The following table shows the region’s smelters.  New power contracts with BPA are due to start in October 2001.  Details aren’t clear, but a lot of the earlier contracts were struck around US$22-$23/MWhr for around 60% of capacity (some had none, some had 100% cover). With the power price action of the last 3 years, will the BPA grant more generous cover from October 2001 to smelters, some of whom have shut down and resold power at good profits into the spot market?</w:t>
            </w:r>
          </w:p>
          <w:p>
            <w:pPr>
              <w:pStyle w:val="BodyText"/>
              <w:rPr>
                <w:sz w:val="18"/>
              </w:rPr>
            </w:pPr>
            <w:r>
              <w:rPr>
                <w:sz w:val="18"/>
              </w:rPr>
              <w:t>Anything less than 100% smelter cover (26,500 GW/yr of base load) leaves smelters exposed to the risk of higher power prices, but all the smelting capacity is at risk should smelters or the BPA divert smelter power into a spiking free market.</w:t>
            </w:r>
          </w:p>
          <w:p>
            <w:pPr>
              <w:pStyle w:val="BodyText2"/>
              <w:rPr>
                <w:sz w:val="18"/>
              </w:rPr>
            </w:pPr>
            <w:r>
              <w:rPr>
                <w:sz w:val="18"/>
              </w:rPr>
              <w:t>So things don’t look good for NW smelting operations in the medium to long term.  Going further forward, the North Western Power administration is considering plant plans for approx. 3700 MWhrs of gas fired new capacity, with approx. 4 year development and construction timescale.  This translates out to approx. 32,000 GW annually of gas fired power capacity (compares to 26,480 GW annually of smelter power requirement).</w:t>
            </w:r>
          </w:p>
          <w:p>
            <w:pPr>
              <w:pStyle w:val="Normal"/>
              <w:jc w:val="both"/>
              <w:rPr>
                <w:rFonts w:ascii="Arial" w:hAnsi="Arial" w:cs="Arial"/>
                <w:sz w:val="18"/>
              </w:rPr>
            </w:pPr>
            <w:r>
              <w:rPr>
                <w:rFonts w:cs="Arial" w:ascii="Arial" w:hAnsi="Arial"/>
                <w:sz w:val="18"/>
              </w:rPr>
              <w:t>But this is gas fired, and with forward gas around $4-$5 MMBtu, this gives an approximate running power cost per mt of aluminium around $640-$800/mt (taking into account energy inefficiencies), and this is before capex and other costs.</w:t>
            </w:r>
          </w:p>
          <w:p>
            <w:pPr>
              <w:pStyle w:val="Normal"/>
              <w:jc w:val="both"/>
              <w:rPr>
                <w:rFonts w:ascii="Arial" w:hAnsi="Arial" w:cs="Arial"/>
                <w:sz w:val="18"/>
              </w:rPr>
            </w:pPr>
            <w:r>
              <w:rPr>
                <w:rFonts w:cs="Arial" w:ascii="Arial" w:hAnsi="Arial"/>
                <w:sz w:val="18"/>
              </w:rPr>
              <w:t>Last night, PLATTS reported that Washington state announced plans to introduce tax breaks for new power generation serving aluminium smelters, provided the smelter got 10% of power from alternative fuels like wind or solar power or implement energy saving schemes.  The scheme also includes proposals for exemption from natural gas use tax provided certain employment levels were maintained for 5 years. The legislation wouldn’t be implemented until April, at least.</w:t>
            </w:r>
          </w:p>
          <w:p>
            <w:pPr>
              <w:pStyle w:val="Normal"/>
              <w:jc w:val="both"/>
              <w:rPr>
                <w:rFonts w:ascii="Arial" w:hAnsi="Arial" w:cs="Arial"/>
                <w:sz w:val="18"/>
              </w:rPr>
            </w:pPr>
            <w:r>
              <w:rPr>
                <w:rFonts w:cs="Arial" w:ascii="Arial" w:hAnsi="Arial"/>
                <w:sz w:val="18"/>
              </w:rPr>
              <w:t>These have only been approximate calculations. But, if the region’s smelters are facing structurally higher floor prices for power in the future and have access or exposure to a seasonally violent spot power market, the risk profile of the NW Pacific smelter business appears significantly different from new smelters built in recent years.  Shipping costs of only $90/mt for primary aluminium from the Gulf or Scandinavia into the US Midwest, comparable to $5.60/MWhr on the power price, don’t favour these smelters either.</w:t>
            </w:r>
          </w:p>
        </w:tc>
      </w:tr>
      <w:tr>
        <w:trPr/>
        <w:tc>
          <w:tcPr>
            <w:tcW w:w="2194" w:type="dxa"/>
            <w:gridSpan w:val="2"/>
            <w:tcBorders>
              <w:top w:val="single" w:sz="12" w:space="0" w:color="000000"/>
              <w:start w:val="single" w:sz="12" w:space="0" w:color="000000"/>
              <w:bottom w:val="single" w:sz="6" w:space="0" w:color="000000"/>
              <w:end w:val="single" w:sz="6" w:space="0" w:color="000000"/>
            </w:tcBorders>
          </w:tcPr>
          <w:p>
            <w:pPr>
              <w:pStyle w:val="Normal"/>
              <w:rPr>
                <w:rFonts w:ascii="Arial" w:hAnsi="Arial" w:cs="Arial"/>
                <w:color w:val="000000"/>
                <w:lang w:val="en-AU" w:eastAsia="en-US"/>
              </w:rPr>
            </w:pPr>
            <w:r>
              <w:rPr>
                <w:rFonts w:cs="Arial" w:ascii="Arial" w:hAnsi="Arial"/>
                <w:color w:val="000000"/>
                <w:lang w:val="en-AU" w:eastAsia="en-US"/>
              </w:rPr>
              <w:t>figs in 000s mt</w:t>
            </w:r>
          </w:p>
        </w:tc>
        <w:tc>
          <w:tcPr>
            <w:tcW w:w="2194" w:type="dxa"/>
            <w:gridSpan w:val="2"/>
            <w:tcBorders>
              <w:top w:val="single" w:sz="12"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val="en-AU" w:eastAsia="en-US"/>
              </w:rPr>
            </w:pPr>
            <w:r>
              <w:rPr>
                <w:rFonts w:cs="Arial" w:ascii="Arial" w:hAnsi="Arial"/>
                <w:color w:val="000000"/>
                <w:lang w:val="en-AU" w:eastAsia="en-US"/>
              </w:rPr>
              <w:t>Max Capy</w:t>
            </w:r>
          </w:p>
        </w:tc>
        <w:tc>
          <w:tcPr>
            <w:tcW w:w="2194" w:type="dxa"/>
            <w:gridSpan w:val="3"/>
            <w:tcBorders>
              <w:top w:val="single" w:sz="12"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val="en-AU" w:eastAsia="en-US"/>
              </w:rPr>
            </w:pPr>
            <w:r>
              <w:rPr>
                <w:rFonts w:cs="Arial" w:ascii="Arial" w:hAnsi="Arial"/>
                <w:color w:val="000000"/>
                <w:lang w:val="en-AU" w:eastAsia="en-US"/>
              </w:rPr>
              <w:t>Shut</w:t>
            </w:r>
          </w:p>
        </w:tc>
        <w:tc>
          <w:tcPr>
            <w:tcW w:w="2194" w:type="dxa"/>
            <w:gridSpan w:val="3"/>
            <w:tcBorders>
              <w:top w:val="single" w:sz="12"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val="en-AU" w:eastAsia="en-US"/>
              </w:rPr>
            </w:pPr>
            <w:r>
              <w:rPr>
                <w:rFonts w:cs="Arial" w:ascii="Arial" w:hAnsi="Arial"/>
                <w:color w:val="000000"/>
                <w:lang w:val="en-AU" w:eastAsia="en-US"/>
              </w:rPr>
              <w:t>Open</w:t>
            </w:r>
          </w:p>
        </w:tc>
        <w:tc>
          <w:tcPr>
            <w:tcW w:w="2268" w:type="dxa"/>
            <w:tcBorders>
              <w:top w:val="single" w:sz="12" w:space="0" w:color="000000"/>
              <w:start w:val="single" w:sz="6" w:space="0" w:color="000000"/>
              <w:bottom w:val="single" w:sz="6" w:space="0" w:color="000000"/>
              <w:end w:val="single" w:sz="12" w:space="0" w:color="000000"/>
            </w:tcBorders>
          </w:tcPr>
          <w:p>
            <w:pPr>
              <w:pStyle w:val="Normal"/>
              <w:rPr>
                <w:rFonts w:ascii="Arial" w:hAnsi="Arial" w:cs="Arial"/>
                <w:color w:val="000000"/>
                <w:lang w:val="en-AU" w:eastAsia="en-US"/>
              </w:rPr>
            </w:pPr>
            <w:r>
              <w:rPr>
                <w:rFonts w:cs="Arial" w:ascii="Arial" w:hAnsi="Arial"/>
                <w:color w:val="000000"/>
                <w:lang w:val="en-AU" w:eastAsia="en-US"/>
              </w:rPr>
              <w:t>Yearly Power GW</w:t>
            </w:r>
          </w:p>
        </w:tc>
      </w:tr>
      <w:tr>
        <w:trPr>
          <w:trHeight w:val="220" w:hRule="exact"/>
        </w:trPr>
        <w:tc>
          <w:tcPr>
            <w:tcW w:w="2194" w:type="dxa"/>
            <w:gridSpan w:val="2"/>
            <w:tcBorders>
              <w:top w:val="single" w:sz="6" w:space="0" w:color="000000"/>
              <w:start w:val="single" w:sz="12" w:space="0" w:color="000000"/>
              <w:bottom w:val="single" w:sz="6" w:space="0" w:color="000000"/>
              <w:end w:val="single" w:sz="6" w:space="0" w:color="000000"/>
            </w:tcBorders>
          </w:tcPr>
          <w:p>
            <w:pPr>
              <w:pStyle w:val="Normal"/>
              <w:jc w:val="center"/>
              <w:rPr>
                <w:rFonts w:ascii="Arial" w:hAnsi="Arial" w:cs="Arial"/>
                <w:color w:val="000000"/>
                <w:lang w:val="en-AU" w:eastAsia="en-US"/>
              </w:rPr>
            </w:pPr>
            <w:r>
              <w:rPr>
                <w:rFonts w:cs="Arial" w:ascii="Arial" w:hAnsi="Arial"/>
                <w:color w:val="000000"/>
                <w:lang w:val="en-AU" w:eastAsia="en-US"/>
              </w:rPr>
              <w:t>Tacoma</w:t>
            </w:r>
          </w:p>
        </w:tc>
        <w:tc>
          <w:tcPr>
            <w:tcW w:w="2194" w:type="dxa"/>
            <w:gridSpan w:val="2"/>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val="en-AU" w:eastAsia="en-US"/>
              </w:rPr>
            </w:pPr>
            <w:r>
              <w:rPr>
                <w:rFonts w:cs="Arial" w:ascii="Arial" w:hAnsi="Arial"/>
                <w:color w:val="000000"/>
                <w:lang w:val="en-AU" w:eastAsia="en-US"/>
              </w:rPr>
              <w:t>73</w:t>
            </w:r>
          </w:p>
        </w:tc>
        <w:tc>
          <w:tcPr>
            <w:tcW w:w="2194" w:type="dxa"/>
            <w:gridSpan w:val="3"/>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val="en-AU" w:eastAsia="en-US"/>
              </w:rPr>
            </w:pPr>
            <w:r>
              <w:rPr>
                <w:rFonts w:cs="Arial" w:ascii="Arial" w:hAnsi="Arial"/>
                <w:color w:val="000000"/>
                <w:lang w:val="en-AU" w:eastAsia="en-US"/>
              </w:rPr>
              <w:t>73</w:t>
            </w:r>
          </w:p>
        </w:tc>
        <w:tc>
          <w:tcPr>
            <w:tcW w:w="2194" w:type="dxa"/>
            <w:gridSpan w:val="3"/>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val="en-AU" w:eastAsia="en-US"/>
              </w:rPr>
            </w:pPr>
            <w:r>
              <w:rPr>
                <w:rFonts w:cs="Arial" w:ascii="Arial" w:hAnsi="Arial"/>
                <w:color w:val="000000"/>
                <w:lang w:val="en-AU" w:eastAsia="en-US"/>
              </w:rPr>
              <w:t>0</w:t>
            </w:r>
          </w:p>
        </w:tc>
        <w:tc>
          <w:tcPr>
            <w:tcW w:w="2268" w:type="dxa"/>
            <w:tcBorders>
              <w:top w:val="single" w:sz="6" w:space="0" w:color="000000"/>
              <w:start w:val="single" w:sz="6" w:space="0" w:color="000000"/>
              <w:bottom w:val="single" w:sz="6" w:space="0" w:color="000000"/>
              <w:end w:val="single" w:sz="12" w:space="0" w:color="000000"/>
            </w:tcBorders>
          </w:tcPr>
          <w:p>
            <w:pPr>
              <w:pStyle w:val="Normal"/>
              <w:jc w:val="center"/>
              <w:rPr>
                <w:rFonts w:ascii="Arial" w:hAnsi="Arial" w:cs="Arial"/>
                <w:color w:val="000000"/>
                <w:lang w:val="en-AU" w:eastAsia="en-US"/>
              </w:rPr>
            </w:pPr>
            <w:r>
              <w:rPr>
                <w:rFonts w:cs="Arial" w:ascii="Arial" w:hAnsi="Arial"/>
                <w:color w:val="000000"/>
                <w:lang w:val="en-AU" w:eastAsia="en-US"/>
              </w:rPr>
              <w:t>1,168</w:t>
            </w:r>
          </w:p>
        </w:tc>
      </w:tr>
      <w:tr>
        <w:trPr>
          <w:trHeight w:val="220" w:hRule="exact"/>
        </w:trPr>
        <w:tc>
          <w:tcPr>
            <w:tcW w:w="2194" w:type="dxa"/>
            <w:gridSpan w:val="2"/>
            <w:tcBorders>
              <w:top w:val="single" w:sz="6" w:space="0" w:color="000000"/>
              <w:start w:val="single" w:sz="12" w:space="0" w:color="000000"/>
              <w:bottom w:val="single" w:sz="6" w:space="0" w:color="000000"/>
              <w:end w:val="single" w:sz="6" w:space="0" w:color="000000"/>
            </w:tcBorders>
          </w:tcPr>
          <w:p>
            <w:pPr>
              <w:pStyle w:val="Normal"/>
              <w:jc w:val="center"/>
              <w:rPr>
                <w:rFonts w:ascii="Arial" w:hAnsi="Arial" w:cs="Arial"/>
                <w:color w:val="000000"/>
                <w:lang w:val="en-AU" w:eastAsia="en-US"/>
              </w:rPr>
            </w:pPr>
            <w:r>
              <w:rPr>
                <w:rFonts w:cs="Arial" w:ascii="Arial" w:hAnsi="Arial"/>
                <w:color w:val="000000"/>
                <w:lang w:val="en-AU" w:eastAsia="en-US"/>
              </w:rPr>
              <w:t>Mead</w:t>
            </w:r>
          </w:p>
        </w:tc>
        <w:tc>
          <w:tcPr>
            <w:tcW w:w="2194" w:type="dxa"/>
            <w:gridSpan w:val="2"/>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val="en-AU" w:eastAsia="en-US"/>
              </w:rPr>
            </w:pPr>
            <w:r>
              <w:rPr>
                <w:rFonts w:cs="Arial" w:ascii="Arial" w:hAnsi="Arial"/>
                <w:color w:val="000000"/>
                <w:lang w:val="en-AU" w:eastAsia="en-US"/>
              </w:rPr>
              <w:t>212</w:t>
            </w:r>
          </w:p>
        </w:tc>
        <w:tc>
          <w:tcPr>
            <w:tcW w:w="2194" w:type="dxa"/>
            <w:gridSpan w:val="3"/>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val="en-AU" w:eastAsia="en-US"/>
              </w:rPr>
            </w:pPr>
            <w:r>
              <w:rPr>
                <w:rFonts w:cs="Arial" w:ascii="Arial" w:hAnsi="Arial"/>
                <w:color w:val="000000"/>
                <w:lang w:val="en-AU" w:eastAsia="en-US"/>
              </w:rPr>
              <w:t>212</w:t>
            </w:r>
          </w:p>
        </w:tc>
        <w:tc>
          <w:tcPr>
            <w:tcW w:w="2194" w:type="dxa"/>
            <w:gridSpan w:val="3"/>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val="en-AU" w:eastAsia="en-US"/>
              </w:rPr>
            </w:pPr>
            <w:r>
              <w:rPr>
                <w:rFonts w:cs="Arial" w:ascii="Arial" w:hAnsi="Arial"/>
                <w:color w:val="000000"/>
                <w:lang w:val="en-AU" w:eastAsia="en-US"/>
              </w:rPr>
              <w:t>0</w:t>
            </w:r>
          </w:p>
        </w:tc>
        <w:tc>
          <w:tcPr>
            <w:tcW w:w="2268" w:type="dxa"/>
            <w:tcBorders>
              <w:top w:val="single" w:sz="6" w:space="0" w:color="000000"/>
              <w:start w:val="single" w:sz="6" w:space="0" w:color="000000"/>
              <w:bottom w:val="single" w:sz="6" w:space="0" w:color="000000"/>
              <w:end w:val="single" w:sz="12" w:space="0" w:color="000000"/>
            </w:tcBorders>
          </w:tcPr>
          <w:p>
            <w:pPr>
              <w:pStyle w:val="Normal"/>
              <w:jc w:val="center"/>
              <w:rPr>
                <w:rFonts w:ascii="Arial" w:hAnsi="Arial" w:cs="Arial"/>
                <w:color w:val="000000"/>
                <w:lang w:val="en-AU" w:eastAsia="en-US"/>
              </w:rPr>
            </w:pPr>
            <w:r>
              <w:rPr>
                <w:rFonts w:cs="Arial" w:ascii="Arial" w:hAnsi="Arial"/>
                <w:color w:val="000000"/>
                <w:lang w:val="en-AU" w:eastAsia="en-US"/>
              </w:rPr>
              <w:t>3,392</w:t>
            </w:r>
          </w:p>
        </w:tc>
      </w:tr>
      <w:tr>
        <w:trPr>
          <w:trHeight w:val="220" w:hRule="exact"/>
        </w:trPr>
        <w:tc>
          <w:tcPr>
            <w:tcW w:w="2194" w:type="dxa"/>
            <w:gridSpan w:val="2"/>
            <w:tcBorders>
              <w:top w:val="single" w:sz="6" w:space="0" w:color="000000"/>
              <w:start w:val="single" w:sz="12" w:space="0" w:color="000000"/>
              <w:bottom w:val="single" w:sz="6" w:space="0" w:color="000000"/>
              <w:end w:val="single" w:sz="6" w:space="0" w:color="000000"/>
            </w:tcBorders>
          </w:tcPr>
          <w:p>
            <w:pPr>
              <w:pStyle w:val="Normal"/>
              <w:jc w:val="center"/>
              <w:rPr>
                <w:rFonts w:ascii="Arial" w:hAnsi="Arial" w:cs="Arial"/>
                <w:color w:val="000000"/>
                <w:lang w:val="en-AU" w:eastAsia="en-US"/>
              </w:rPr>
            </w:pPr>
            <w:r>
              <w:rPr>
                <w:rFonts w:cs="Arial" w:ascii="Arial" w:hAnsi="Arial"/>
                <w:color w:val="000000"/>
                <w:lang w:val="en-AU" w:eastAsia="en-US"/>
              </w:rPr>
              <w:t>Troutdale</w:t>
            </w:r>
          </w:p>
        </w:tc>
        <w:tc>
          <w:tcPr>
            <w:tcW w:w="2194" w:type="dxa"/>
            <w:gridSpan w:val="2"/>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val="en-AU" w:eastAsia="en-US"/>
              </w:rPr>
            </w:pPr>
            <w:r>
              <w:rPr>
                <w:rFonts w:cs="Arial" w:ascii="Arial" w:hAnsi="Arial"/>
                <w:color w:val="000000"/>
                <w:lang w:val="en-AU" w:eastAsia="en-US"/>
              </w:rPr>
              <w:t>121</w:t>
            </w:r>
          </w:p>
        </w:tc>
        <w:tc>
          <w:tcPr>
            <w:tcW w:w="2194" w:type="dxa"/>
            <w:gridSpan w:val="3"/>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val="en-AU" w:eastAsia="en-US"/>
              </w:rPr>
            </w:pPr>
            <w:r>
              <w:rPr>
                <w:rFonts w:cs="Arial" w:ascii="Arial" w:hAnsi="Arial"/>
                <w:color w:val="000000"/>
                <w:lang w:val="en-AU" w:eastAsia="en-US"/>
              </w:rPr>
              <w:t>121</w:t>
            </w:r>
          </w:p>
        </w:tc>
        <w:tc>
          <w:tcPr>
            <w:tcW w:w="2194" w:type="dxa"/>
            <w:gridSpan w:val="3"/>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val="en-AU" w:eastAsia="en-US"/>
              </w:rPr>
            </w:pPr>
            <w:r>
              <w:rPr>
                <w:rFonts w:cs="Arial" w:ascii="Arial" w:hAnsi="Arial"/>
                <w:color w:val="000000"/>
                <w:lang w:val="en-AU" w:eastAsia="en-US"/>
              </w:rPr>
              <w:t>0</w:t>
            </w:r>
          </w:p>
        </w:tc>
        <w:tc>
          <w:tcPr>
            <w:tcW w:w="2268" w:type="dxa"/>
            <w:tcBorders>
              <w:top w:val="single" w:sz="6" w:space="0" w:color="000000"/>
              <w:start w:val="single" w:sz="6" w:space="0" w:color="000000"/>
              <w:bottom w:val="single" w:sz="6" w:space="0" w:color="000000"/>
              <w:end w:val="single" w:sz="12" w:space="0" w:color="000000"/>
            </w:tcBorders>
          </w:tcPr>
          <w:p>
            <w:pPr>
              <w:pStyle w:val="Normal"/>
              <w:jc w:val="center"/>
              <w:rPr>
                <w:rFonts w:ascii="Arial" w:hAnsi="Arial" w:cs="Arial"/>
                <w:color w:val="000000"/>
                <w:lang w:val="en-AU" w:eastAsia="en-US"/>
              </w:rPr>
            </w:pPr>
            <w:r>
              <w:rPr>
                <w:rFonts w:cs="Arial" w:ascii="Arial" w:hAnsi="Arial"/>
                <w:color w:val="000000"/>
                <w:lang w:val="en-AU" w:eastAsia="en-US"/>
              </w:rPr>
              <w:t>1,936</w:t>
            </w:r>
          </w:p>
        </w:tc>
      </w:tr>
      <w:tr>
        <w:trPr>
          <w:trHeight w:val="220" w:hRule="exact"/>
        </w:trPr>
        <w:tc>
          <w:tcPr>
            <w:tcW w:w="2194" w:type="dxa"/>
            <w:gridSpan w:val="2"/>
            <w:tcBorders>
              <w:top w:val="single" w:sz="6" w:space="0" w:color="000000"/>
              <w:start w:val="single" w:sz="12" w:space="0" w:color="000000"/>
              <w:bottom w:val="single" w:sz="6" w:space="0" w:color="000000"/>
              <w:end w:val="single" w:sz="6" w:space="0" w:color="000000"/>
            </w:tcBorders>
          </w:tcPr>
          <w:p>
            <w:pPr>
              <w:pStyle w:val="Normal"/>
              <w:jc w:val="center"/>
              <w:rPr>
                <w:rFonts w:ascii="Arial" w:hAnsi="Arial" w:cs="Arial"/>
                <w:color w:val="000000"/>
                <w:lang w:val="en-AU" w:eastAsia="en-US"/>
              </w:rPr>
            </w:pPr>
            <w:r>
              <w:rPr>
                <w:rFonts w:cs="Arial" w:ascii="Arial" w:hAnsi="Arial"/>
                <w:color w:val="000000"/>
                <w:lang w:val="en-AU" w:eastAsia="en-US"/>
              </w:rPr>
              <w:t>Intalco</w:t>
            </w:r>
          </w:p>
        </w:tc>
        <w:tc>
          <w:tcPr>
            <w:tcW w:w="2194" w:type="dxa"/>
            <w:gridSpan w:val="2"/>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val="en-AU" w:eastAsia="en-US"/>
              </w:rPr>
            </w:pPr>
            <w:r>
              <w:rPr>
                <w:rFonts w:cs="Arial" w:ascii="Arial" w:hAnsi="Arial"/>
                <w:color w:val="000000"/>
                <w:lang w:val="en-AU" w:eastAsia="en-US"/>
              </w:rPr>
              <w:t>282</w:t>
            </w:r>
          </w:p>
        </w:tc>
        <w:tc>
          <w:tcPr>
            <w:tcW w:w="2194" w:type="dxa"/>
            <w:gridSpan w:val="3"/>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val="en-AU" w:eastAsia="en-US"/>
              </w:rPr>
            </w:pPr>
            <w:r>
              <w:rPr>
                <w:rFonts w:cs="Arial" w:ascii="Arial" w:hAnsi="Arial"/>
                <w:color w:val="000000"/>
                <w:lang w:val="en-AU" w:eastAsia="en-US"/>
              </w:rPr>
              <w:t>70</w:t>
            </w:r>
          </w:p>
        </w:tc>
        <w:tc>
          <w:tcPr>
            <w:tcW w:w="2194" w:type="dxa"/>
            <w:gridSpan w:val="3"/>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val="en-AU" w:eastAsia="en-US"/>
              </w:rPr>
            </w:pPr>
            <w:r>
              <w:rPr>
                <w:rFonts w:cs="Arial" w:ascii="Arial" w:hAnsi="Arial"/>
                <w:color w:val="000000"/>
                <w:lang w:val="en-AU" w:eastAsia="en-US"/>
              </w:rPr>
              <w:t>212</w:t>
            </w:r>
          </w:p>
        </w:tc>
        <w:tc>
          <w:tcPr>
            <w:tcW w:w="2268" w:type="dxa"/>
            <w:tcBorders>
              <w:top w:val="single" w:sz="6" w:space="0" w:color="000000"/>
              <w:start w:val="single" w:sz="6" w:space="0" w:color="000000"/>
              <w:bottom w:val="single" w:sz="6" w:space="0" w:color="000000"/>
              <w:end w:val="single" w:sz="12" w:space="0" w:color="000000"/>
            </w:tcBorders>
          </w:tcPr>
          <w:p>
            <w:pPr>
              <w:pStyle w:val="Normal"/>
              <w:jc w:val="center"/>
              <w:rPr>
                <w:rFonts w:ascii="Arial" w:hAnsi="Arial" w:cs="Arial"/>
                <w:color w:val="000000"/>
                <w:lang w:val="en-AU" w:eastAsia="en-US"/>
              </w:rPr>
            </w:pPr>
            <w:r>
              <w:rPr>
                <w:rFonts w:cs="Arial" w:ascii="Arial" w:hAnsi="Arial"/>
                <w:color w:val="000000"/>
                <w:lang w:val="en-AU" w:eastAsia="en-US"/>
              </w:rPr>
              <w:t>4,512</w:t>
            </w:r>
          </w:p>
        </w:tc>
      </w:tr>
      <w:tr>
        <w:trPr>
          <w:trHeight w:val="220" w:hRule="exact"/>
        </w:trPr>
        <w:tc>
          <w:tcPr>
            <w:tcW w:w="2194" w:type="dxa"/>
            <w:gridSpan w:val="2"/>
            <w:tcBorders>
              <w:top w:val="single" w:sz="6" w:space="0" w:color="000000"/>
              <w:start w:val="single" w:sz="12" w:space="0" w:color="000000"/>
              <w:bottom w:val="single" w:sz="6" w:space="0" w:color="000000"/>
              <w:end w:val="single" w:sz="6" w:space="0" w:color="000000"/>
            </w:tcBorders>
          </w:tcPr>
          <w:p>
            <w:pPr>
              <w:pStyle w:val="Normal"/>
              <w:jc w:val="center"/>
              <w:rPr>
                <w:rFonts w:ascii="Arial" w:hAnsi="Arial" w:cs="Arial"/>
                <w:color w:val="000000"/>
                <w:lang w:val="en-AU" w:eastAsia="en-US"/>
              </w:rPr>
            </w:pPr>
            <w:r>
              <w:rPr>
                <w:rFonts w:cs="Arial" w:ascii="Arial" w:hAnsi="Arial"/>
                <w:color w:val="000000"/>
                <w:lang w:val="en-AU" w:eastAsia="en-US"/>
              </w:rPr>
              <w:t>Vanalco</w:t>
            </w:r>
          </w:p>
        </w:tc>
        <w:tc>
          <w:tcPr>
            <w:tcW w:w="2194" w:type="dxa"/>
            <w:gridSpan w:val="2"/>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val="en-AU" w:eastAsia="en-US"/>
              </w:rPr>
            </w:pPr>
            <w:r>
              <w:rPr>
                <w:rFonts w:cs="Arial" w:ascii="Arial" w:hAnsi="Arial"/>
                <w:color w:val="000000"/>
                <w:lang w:val="en-AU" w:eastAsia="en-US"/>
              </w:rPr>
              <w:t>115</w:t>
            </w:r>
          </w:p>
        </w:tc>
        <w:tc>
          <w:tcPr>
            <w:tcW w:w="2194" w:type="dxa"/>
            <w:gridSpan w:val="3"/>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val="en-AU" w:eastAsia="en-US"/>
              </w:rPr>
            </w:pPr>
            <w:r>
              <w:rPr>
                <w:rFonts w:cs="Arial" w:ascii="Arial" w:hAnsi="Arial"/>
                <w:color w:val="000000"/>
                <w:lang w:val="en-AU" w:eastAsia="en-US"/>
              </w:rPr>
              <w:t>115</w:t>
            </w:r>
          </w:p>
        </w:tc>
        <w:tc>
          <w:tcPr>
            <w:tcW w:w="2194" w:type="dxa"/>
            <w:gridSpan w:val="3"/>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val="en-AU" w:eastAsia="en-US"/>
              </w:rPr>
            </w:pPr>
            <w:r>
              <w:rPr>
                <w:rFonts w:cs="Arial" w:ascii="Arial" w:hAnsi="Arial"/>
                <w:color w:val="000000"/>
                <w:lang w:val="en-AU" w:eastAsia="en-US"/>
              </w:rPr>
              <w:t>0</w:t>
            </w:r>
          </w:p>
        </w:tc>
        <w:tc>
          <w:tcPr>
            <w:tcW w:w="2268" w:type="dxa"/>
            <w:tcBorders>
              <w:top w:val="single" w:sz="6" w:space="0" w:color="000000"/>
              <w:start w:val="single" w:sz="6" w:space="0" w:color="000000"/>
              <w:bottom w:val="single" w:sz="6" w:space="0" w:color="000000"/>
              <w:end w:val="single" w:sz="12" w:space="0" w:color="000000"/>
            </w:tcBorders>
          </w:tcPr>
          <w:p>
            <w:pPr>
              <w:pStyle w:val="Normal"/>
              <w:jc w:val="center"/>
              <w:rPr>
                <w:rFonts w:ascii="Arial" w:hAnsi="Arial" w:cs="Arial"/>
                <w:color w:val="000000"/>
                <w:lang w:val="en-AU" w:eastAsia="en-US"/>
              </w:rPr>
            </w:pPr>
            <w:r>
              <w:rPr>
                <w:rFonts w:cs="Arial" w:ascii="Arial" w:hAnsi="Arial"/>
                <w:color w:val="000000"/>
                <w:lang w:val="en-AU" w:eastAsia="en-US"/>
              </w:rPr>
              <w:t>1,840</w:t>
            </w:r>
          </w:p>
        </w:tc>
      </w:tr>
      <w:tr>
        <w:trPr>
          <w:trHeight w:val="220" w:hRule="exact"/>
        </w:trPr>
        <w:tc>
          <w:tcPr>
            <w:tcW w:w="2194" w:type="dxa"/>
            <w:gridSpan w:val="2"/>
            <w:tcBorders>
              <w:top w:val="single" w:sz="6" w:space="0" w:color="000000"/>
              <w:start w:val="single" w:sz="12" w:space="0" w:color="000000"/>
              <w:bottom w:val="single" w:sz="6" w:space="0" w:color="000000"/>
              <w:end w:val="single" w:sz="6" w:space="0" w:color="000000"/>
            </w:tcBorders>
          </w:tcPr>
          <w:p>
            <w:pPr>
              <w:pStyle w:val="Normal"/>
              <w:jc w:val="center"/>
              <w:rPr>
                <w:rFonts w:ascii="Arial" w:hAnsi="Arial" w:cs="Arial"/>
                <w:color w:val="000000"/>
                <w:lang w:val="en-AU" w:eastAsia="en-US"/>
              </w:rPr>
            </w:pPr>
            <w:r>
              <w:rPr>
                <w:rFonts w:cs="Arial" w:ascii="Arial" w:hAnsi="Arial"/>
                <w:color w:val="000000"/>
                <w:lang w:val="en-AU" w:eastAsia="en-US"/>
              </w:rPr>
              <w:t>Wenatchee (265 MoU)</w:t>
            </w:r>
          </w:p>
        </w:tc>
        <w:tc>
          <w:tcPr>
            <w:tcW w:w="2194" w:type="dxa"/>
            <w:gridSpan w:val="2"/>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val="en-AU" w:eastAsia="en-US"/>
              </w:rPr>
            </w:pPr>
            <w:r>
              <w:rPr>
                <w:rFonts w:cs="Arial" w:ascii="Arial" w:hAnsi="Arial"/>
                <w:color w:val="000000"/>
                <w:lang w:val="en-AU" w:eastAsia="en-US"/>
              </w:rPr>
              <w:t>215</w:t>
            </w:r>
          </w:p>
        </w:tc>
        <w:tc>
          <w:tcPr>
            <w:tcW w:w="2194" w:type="dxa"/>
            <w:gridSpan w:val="3"/>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val="en-AU" w:eastAsia="en-US"/>
              </w:rPr>
            </w:pPr>
            <w:r>
              <w:rPr>
                <w:rFonts w:cs="Arial" w:ascii="Arial" w:hAnsi="Arial"/>
                <w:color w:val="000000"/>
                <w:lang w:val="en-AU" w:eastAsia="en-US"/>
              </w:rPr>
              <w:t>95</w:t>
            </w:r>
          </w:p>
        </w:tc>
        <w:tc>
          <w:tcPr>
            <w:tcW w:w="2194" w:type="dxa"/>
            <w:gridSpan w:val="3"/>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val="en-AU" w:eastAsia="en-US"/>
              </w:rPr>
            </w:pPr>
            <w:r>
              <w:rPr>
                <w:rFonts w:cs="Arial" w:ascii="Arial" w:hAnsi="Arial"/>
                <w:color w:val="000000"/>
                <w:lang w:val="en-AU" w:eastAsia="en-US"/>
              </w:rPr>
              <w:t>120</w:t>
            </w:r>
          </w:p>
        </w:tc>
        <w:tc>
          <w:tcPr>
            <w:tcW w:w="2268" w:type="dxa"/>
            <w:tcBorders>
              <w:top w:val="single" w:sz="6" w:space="0" w:color="000000"/>
              <w:start w:val="single" w:sz="6" w:space="0" w:color="000000"/>
              <w:bottom w:val="single" w:sz="6" w:space="0" w:color="000000"/>
              <w:end w:val="single" w:sz="12" w:space="0" w:color="000000"/>
            </w:tcBorders>
          </w:tcPr>
          <w:p>
            <w:pPr>
              <w:pStyle w:val="Normal"/>
              <w:jc w:val="center"/>
              <w:rPr>
                <w:rFonts w:ascii="Arial" w:hAnsi="Arial" w:cs="Arial"/>
                <w:color w:val="000000"/>
                <w:lang w:val="en-AU" w:eastAsia="en-US"/>
              </w:rPr>
            </w:pPr>
            <w:r>
              <w:rPr>
                <w:rFonts w:cs="Arial" w:ascii="Arial" w:hAnsi="Arial"/>
                <w:color w:val="000000"/>
                <w:lang w:val="en-AU" w:eastAsia="en-US"/>
              </w:rPr>
              <w:t>3,440</w:t>
            </w:r>
          </w:p>
        </w:tc>
      </w:tr>
      <w:tr>
        <w:trPr>
          <w:trHeight w:val="220" w:hRule="exact"/>
        </w:trPr>
        <w:tc>
          <w:tcPr>
            <w:tcW w:w="2194" w:type="dxa"/>
            <w:gridSpan w:val="2"/>
            <w:tcBorders>
              <w:top w:val="single" w:sz="6" w:space="0" w:color="000000"/>
              <w:start w:val="single" w:sz="12" w:space="0" w:color="000000"/>
              <w:bottom w:val="single" w:sz="6" w:space="0" w:color="000000"/>
              <w:end w:val="single" w:sz="6" w:space="0" w:color="000000"/>
            </w:tcBorders>
          </w:tcPr>
          <w:p>
            <w:pPr>
              <w:pStyle w:val="Normal"/>
              <w:jc w:val="center"/>
              <w:rPr>
                <w:rFonts w:ascii="Arial" w:hAnsi="Arial" w:cs="Arial"/>
                <w:color w:val="000000"/>
                <w:lang w:val="en-AU" w:eastAsia="en-US"/>
              </w:rPr>
            </w:pPr>
            <w:r>
              <w:rPr>
                <w:rFonts w:cs="Arial" w:ascii="Arial" w:hAnsi="Arial"/>
                <w:color w:val="000000"/>
                <w:lang w:val="en-AU" w:eastAsia="en-US"/>
              </w:rPr>
              <w:t>Columbia Falls</w:t>
            </w:r>
          </w:p>
        </w:tc>
        <w:tc>
          <w:tcPr>
            <w:tcW w:w="2194" w:type="dxa"/>
            <w:gridSpan w:val="2"/>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val="en-AU" w:eastAsia="en-US"/>
              </w:rPr>
            </w:pPr>
            <w:r>
              <w:rPr>
                <w:rFonts w:cs="Arial" w:ascii="Arial" w:hAnsi="Arial"/>
                <w:color w:val="000000"/>
                <w:lang w:val="en-AU" w:eastAsia="en-US"/>
              </w:rPr>
              <w:t>170</w:t>
            </w:r>
          </w:p>
        </w:tc>
        <w:tc>
          <w:tcPr>
            <w:tcW w:w="2194" w:type="dxa"/>
            <w:gridSpan w:val="3"/>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val="en-AU" w:eastAsia="en-US"/>
              </w:rPr>
            </w:pPr>
            <w:r>
              <w:rPr>
                <w:rFonts w:cs="Arial" w:ascii="Arial" w:hAnsi="Arial"/>
                <w:color w:val="000000"/>
                <w:lang w:val="en-AU" w:eastAsia="en-US"/>
              </w:rPr>
              <w:t>170</w:t>
            </w:r>
          </w:p>
        </w:tc>
        <w:tc>
          <w:tcPr>
            <w:tcW w:w="2194" w:type="dxa"/>
            <w:gridSpan w:val="3"/>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val="en-AU" w:eastAsia="en-US"/>
              </w:rPr>
            </w:pPr>
            <w:r>
              <w:rPr>
                <w:rFonts w:cs="Arial" w:ascii="Arial" w:hAnsi="Arial"/>
                <w:color w:val="000000"/>
                <w:lang w:val="en-AU" w:eastAsia="en-US"/>
              </w:rPr>
              <w:t>0</w:t>
            </w:r>
          </w:p>
        </w:tc>
        <w:tc>
          <w:tcPr>
            <w:tcW w:w="2268" w:type="dxa"/>
            <w:tcBorders>
              <w:top w:val="single" w:sz="6" w:space="0" w:color="000000"/>
              <w:start w:val="single" w:sz="6" w:space="0" w:color="000000"/>
              <w:bottom w:val="single" w:sz="6" w:space="0" w:color="000000"/>
              <w:end w:val="single" w:sz="12" w:space="0" w:color="000000"/>
            </w:tcBorders>
          </w:tcPr>
          <w:p>
            <w:pPr>
              <w:pStyle w:val="Normal"/>
              <w:jc w:val="center"/>
              <w:rPr>
                <w:rFonts w:ascii="Arial" w:hAnsi="Arial" w:cs="Arial"/>
                <w:color w:val="000000"/>
                <w:lang w:val="en-AU" w:eastAsia="en-US"/>
              </w:rPr>
            </w:pPr>
            <w:r>
              <w:rPr>
                <w:rFonts w:cs="Arial" w:ascii="Arial" w:hAnsi="Arial"/>
                <w:color w:val="000000"/>
                <w:lang w:val="en-AU" w:eastAsia="en-US"/>
              </w:rPr>
              <w:t>2,720</w:t>
            </w:r>
          </w:p>
        </w:tc>
      </w:tr>
      <w:tr>
        <w:trPr>
          <w:trHeight w:val="220" w:hRule="exact"/>
        </w:trPr>
        <w:tc>
          <w:tcPr>
            <w:tcW w:w="2194" w:type="dxa"/>
            <w:gridSpan w:val="2"/>
            <w:tcBorders>
              <w:top w:val="single" w:sz="6" w:space="0" w:color="000000"/>
              <w:start w:val="single" w:sz="12" w:space="0" w:color="000000"/>
              <w:bottom w:val="single" w:sz="6" w:space="0" w:color="000000"/>
              <w:end w:val="single" w:sz="6" w:space="0" w:color="000000"/>
            </w:tcBorders>
          </w:tcPr>
          <w:p>
            <w:pPr>
              <w:pStyle w:val="Normal"/>
              <w:jc w:val="center"/>
              <w:rPr>
                <w:rFonts w:ascii="Arial" w:hAnsi="Arial" w:cs="Arial"/>
                <w:color w:val="000000"/>
                <w:lang w:val="en-AU" w:eastAsia="en-US"/>
              </w:rPr>
            </w:pPr>
            <w:r>
              <w:rPr>
                <w:rFonts w:cs="Arial" w:ascii="Arial" w:hAnsi="Arial"/>
                <w:color w:val="000000"/>
                <w:lang w:val="en-AU" w:eastAsia="en-US"/>
              </w:rPr>
              <w:t>Goldendale</w:t>
            </w:r>
          </w:p>
        </w:tc>
        <w:tc>
          <w:tcPr>
            <w:tcW w:w="2194" w:type="dxa"/>
            <w:gridSpan w:val="2"/>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val="en-AU" w:eastAsia="en-US"/>
              </w:rPr>
            </w:pPr>
            <w:r>
              <w:rPr>
                <w:rFonts w:cs="Arial" w:ascii="Arial" w:hAnsi="Arial"/>
                <w:color w:val="000000"/>
                <w:lang w:val="en-AU" w:eastAsia="en-US"/>
              </w:rPr>
              <w:t>180</w:t>
            </w:r>
          </w:p>
        </w:tc>
        <w:tc>
          <w:tcPr>
            <w:tcW w:w="2194" w:type="dxa"/>
            <w:gridSpan w:val="3"/>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val="en-AU" w:eastAsia="en-US"/>
              </w:rPr>
            </w:pPr>
            <w:r>
              <w:rPr>
                <w:rFonts w:cs="Arial" w:ascii="Arial" w:hAnsi="Arial"/>
                <w:color w:val="000000"/>
                <w:lang w:val="en-AU" w:eastAsia="en-US"/>
              </w:rPr>
              <w:t>137</w:t>
            </w:r>
          </w:p>
        </w:tc>
        <w:tc>
          <w:tcPr>
            <w:tcW w:w="2194" w:type="dxa"/>
            <w:gridSpan w:val="3"/>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val="en-AU" w:eastAsia="en-US"/>
              </w:rPr>
            </w:pPr>
            <w:r>
              <w:rPr>
                <w:rFonts w:cs="Arial" w:ascii="Arial" w:hAnsi="Arial"/>
                <w:color w:val="000000"/>
                <w:lang w:val="en-AU" w:eastAsia="en-US"/>
              </w:rPr>
              <w:t>43</w:t>
            </w:r>
          </w:p>
        </w:tc>
        <w:tc>
          <w:tcPr>
            <w:tcW w:w="2268" w:type="dxa"/>
            <w:tcBorders>
              <w:top w:val="single" w:sz="6" w:space="0" w:color="000000"/>
              <w:start w:val="single" w:sz="6" w:space="0" w:color="000000"/>
              <w:bottom w:val="single" w:sz="6" w:space="0" w:color="000000"/>
              <w:end w:val="single" w:sz="12" w:space="0" w:color="000000"/>
            </w:tcBorders>
          </w:tcPr>
          <w:p>
            <w:pPr>
              <w:pStyle w:val="Normal"/>
              <w:jc w:val="center"/>
              <w:rPr>
                <w:rFonts w:ascii="Arial" w:hAnsi="Arial" w:cs="Arial"/>
                <w:color w:val="000000"/>
                <w:lang w:val="en-AU" w:eastAsia="en-US"/>
              </w:rPr>
            </w:pPr>
            <w:r>
              <w:rPr>
                <w:rFonts w:cs="Arial" w:ascii="Arial" w:hAnsi="Arial"/>
                <w:color w:val="000000"/>
                <w:lang w:val="en-AU" w:eastAsia="en-US"/>
              </w:rPr>
              <w:t>2,880</w:t>
            </w:r>
          </w:p>
        </w:tc>
      </w:tr>
      <w:tr>
        <w:trPr>
          <w:trHeight w:val="220" w:hRule="exact"/>
        </w:trPr>
        <w:tc>
          <w:tcPr>
            <w:tcW w:w="2194" w:type="dxa"/>
            <w:gridSpan w:val="2"/>
            <w:tcBorders>
              <w:top w:val="single" w:sz="6" w:space="0" w:color="000000"/>
              <w:start w:val="single" w:sz="12" w:space="0" w:color="000000"/>
              <w:bottom w:val="single" w:sz="6" w:space="0" w:color="000000"/>
              <w:end w:val="single" w:sz="6" w:space="0" w:color="000000"/>
            </w:tcBorders>
          </w:tcPr>
          <w:p>
            <w:pPr>
              <w:pStyle w:val="Normal"/>
              <w:jc w:val="center"/>
              <w:rPr>
                <w:rFonts w:ascii="Arial" w:hAnsi="Arial" w:cs="Arial"/>
                <w:color w:val="000000"/>
                <w:lang w:val="en-AU" w:eastAsia="en-US"/>
              </w:rPr>
            </w:pPr>
            <w:r>
              <w:rPr>
                <w:rFonts w:cs="Arial" w:ascii="Arial" w:hAnsi="Arial"/>
                <w:color w:val="000000"/>
                <w:lang w:val="en-AU" w:eastAsia="en-US"/>
              </w:rPr>
              <w:t>The Dalles</w:t>
            </w:r>
          </w:p>
        </w:tc>
        <w:tc>
          <w:tcPr>
            <w:tcW w:w="2194" w:type="dxa"/>
            <w:gridSpan w:val="2"/>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val="en-AU" w:eastAsia="en-US"/>
              </w:rPr>
            </w:pPr>
            <w:r>
              <w:rPr>
                <w:rFonts w:cs="Arial" w:ascii="Arial" w:hAnsi="Arial"/>
                <w:color w:val="000000"/>
                <w:lang w:val="en-AU" w:eastAsia="en-US"/>
              </w:rPr>
              <w:t>82</w:t>
            </w:r>
          </w:p>
        </w:tc>
        <w:tc>
          <w:tcPr>
            <w:tcW w:w="2194" w:type="dxa"/>
            <w:gridSpan w:val="3"/>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val="en-AU" w:eastAsia="en-US"/>
              </w:rPr>
            </w:pPr>
            <w:r>
              <w:rPr>
                <w:rFonts w:cs="Arial" w:ascii="Arial" w:hAnsi="Arial"/>
                <w:color w:val="000000"/>
                <w:lang w:val="en-AU" w:eastAsia="en-US"/>
              </w:rPr>
              <w:t>82</w:t>
            </w:r>
          </w:p>
        </w:tc>
        <w:tc>
          <w:tcPr>
            <w:tcW w:w="2194" w:type="dxa"/>
            <w:gridSpan w:val="3"/>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val="en-AU" w:eastAsia="en-US"/>
              </w:rPr>
            </w:pPr>
            <w:r>
              <w:rPr>
                <w:rFonts w:cs="Arial" w:ascii="Arial" w:hAnsi="Arial"/>
                <w:color w:val="000000"/>
                <w:lang w:val="en-AU" w:eastAsia="en-US"/>
              </w:rPr>
              <w:t>0</w:t>
            </w:r>
          </w:p>
        </w:tc>
        <w:tc>
          <w:tcPr>
            <w:tcW w:w="2268" w:type="dxa"/>
            <w:tcBorders>
              <w:top w:val="single" w:sz="6" w:space="0" w:color="000000"/>
              <w:start w:val="single" w:sz="6" w:space="0" w:color="000000"/>
              <w:bottom w:val="single" w:sz="6" w:space="0" w:color="000000"/>
              <w:end w:val="single" w:sz="12" w:space="0" w:color="000000"/>
            </w:tcBorders>
          </w:tcPr>
          <w:p>
            <w:pPr>
              <w:pStyle w:val="Normal"/>
              <w:jc w:val="center"/>
              <w:rPr>
                <w:rFonts w:ascii="Arial" w:hAnsi="Arial" w:cs="Arial"/>
                <w:color w:val="000000"/>
                <w:lang w:val="en-AU" w:eastAsia="en-US"/>
              </w:rPr>
            </w:pPr>
            <w:r>
              <w:rPr>
                <w:rFonts w:cs="Arial" w:ascii="Arial" w:hAnsi="Arial"/>
                <w:color w:val="000000"/>
                <w:lang w:val="en-AU" w:eastAsia="en-US"/>
              </w:rPr>
              <w:t>1,312</w:t>
            </w:r>
          </w:p>
        </w:tc>
      </w:tr>
      <w:tr>
        <w:trPr>
          <w:trHeight w:val="220" w:hRule="exact"/>
        </w:trPr>
        <w:tc>
          <w:tcPr>
            <w:tcW w:w="2194" w:type="dxa"/>
            <w:gridSpan w:val="2"/>
            <w:tcBorders>
              <w:top w:val="single" w:sz="6" w:space="0" w:color="000000"/>
              <w:start w:val="single" w:sz="12" w:space="0" w:color="000000"/>
              <w:bottom w:val="single" w:sz="6" w:space="0" w:color="000000"/>
              <w:end w:val="single" w:sz="6" w:space="0" w:color="000000"/>
            </w:tcBorders>
          </w:tcPr>
          <w:p>
            <w:pPr>
              <w:pStyle w:val="Normal"/>
              <w:jc w:val="center"/>
              <w:rPr>
                <w:rFonts w:ascii="Arial" w:hAnsi="Arial" w:cs="Arial"/>
                <w:color w:val="000000"/>
                <w:lang w:val="en-AU" w:eastAsia="en-US"/>
              </w:rPr>
            </w:pPr>
            <w:r>
              <w:rPr>
                <w:rFonts w:cs="Arial" w:ascii="Arial" w:hAnsi="Arial"/>
                <w:color w:val="000000"/>
                <w:lang w:val="en-AU" w:eastAsia="en-US"/>
              </w:rPr>
              <w:t>Longview</w:t>
            </w:r>
          </w:p>
        </w:tc>
        <w:tc>
          <w:tcPr>
            <w:tcW w:w="2194" w:type="dxa"/>
            <w:gridSpan w:val="2"/>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val="en-AU" w:eastAsia="en-US"/>
              </w:rPr>
            </w:pPr>
            <w:r>
              <w:rPr>
                <w:rFonts w:cs="Arial" w:ascii="Arial" w:hAnsi="Arial"/>
                <w:color w:val="000000"/>
                <w:lang w:val="en-AU" w:eastAsia="en-US"/>
              </w:rPr>
              <w:t>205</w:t>
            </w:r>
          </w:p>
        </w:tc>
        <w:tc>
          <w:tcPr>
            <w:tcW w:w="2194" w:type="dxa"/>
            <w:gridSpan w:val="3"/>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val="en-AU" w:eastAsia="en-US"/>
              </w:rPr>
            </w:pPr>
            <w:r>
              <w:rPr>
                <w:rFonts w:cs="Arial" w:ascii="Arial" w:hAnsi="Arial"/>
                <w:color w:val="000000"/>
                <w:lang w:val="en-AU" w:eastAsia="en-US"/>
              </w:rPr>
              <w:t>0</w:t>
            </w:r>
          </w:p>
        </w:tc>
        <w:tc>
          <w:tcPr>
            <w:tcW w:w="2194" w:type="dxa"/>
            <w:gridSpan w:val="3"/>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val="en-AU" w:eastAsia="en-US"/>
              </w:rPr>
            </w:pPr>
            <w:r>
              <w:rPr>
                <w:rFonts w:cs="Arial" w:ascii="Arial" w:hAnsi="Arial"/>
                <w:color w:val="000000"/>
                <w:lang w:val="en-AU" w:eastAsia="en-US"/>
              </w:rPr>
              <w:t>205</w:t>
            </w:r>
          </w:p>
        </w:tc>
        <w:tc>
          <w:tcPr>
            <w:tcW w:w="2268" w:type="dxa"/>
            <w:tcBorders>
              <w:top w:val="single" w:sz="6" w:space="0" w:color="000000"/>
              <w:start w:val="single" w:sz="6" w:space="0" w:color="000000"/>
              <w:bottom w:val="single" w:sz="6" w:space="0" w:color="000000"/>
              <w:end w:val="single" w:sz="12" w:space="0" w:color="000000"/>
            </w:tcBorders>
          </w:tcPr>
          <w:p>
            <w:pPr>
              <w:pStyle w:val="Normal"/>
              <w:jc w:val="center"/>
              <w:rPr>
                <w:rFonts w:ascii="Arial" w:hAnsi="Arial" w:cs="Arial"/>
                <w:color w:val="000000"/>
                <w:lang w:val="en-AU" w:eastAsia="en-US"/>
              </w:rPr>
            </w:pPr>
            <w:r>
              <w:rPr>
                <w:rFonts w:cs="Arial" w:ascii="Arial" w:hAnsi="Arial"/>
                <w:color w:val="000000"/>
                <w:lang w:val="en-AU" w:eastAsia="en-US"/>
              </w:rPr>
              <w:t>3,280</w:t>
            </w:r>
          </w:p>
        </w:tc>
      </w:tr>
      <w:tr>
        <w:trPr>
          <w:trHeight w:val="220" w:hRule="exact"/>
        </w:trPr>
        <w:tc>
          <w:tcPr>
            <w:tcW w:w="2194" w:type="dxa"/>
            <w:gridSpan w:val="2"/>
            <w:tcBorders>
              <w:top w:val="single" w:sz="6" w:space="0" w:color="000000"/>
              <w:start w:val="single" w:sz="12" w:space="0" w:color="000000"/>
              <w:bottom w:val="single" w:sz="12" w:space="0" w:color="000000"/>
              <w:end w:val="single" w:sz="6" w:space="0" w:color="000000"/>
            </w:tcBorders>
          </w:tcPr>
          <w:p>
            <w:pPr>
              <w:pStyle w:val="Normal"/>
              <w:jc w:val="center"/>
              <w:rPr>
                <w:rFonts w:ascii="Arial" w:hAnsi="Arial" w:cs="Arial"/>
                <w:color w:val="000000"/>
                <w:lang w:val="en-AU" w:eastAsia="en-US"/>
              </w:rPr>
            </w:pPr>
            <w:r>
              <w:rPr>
                <w:rFonts w:cs="Arial" w:ascii="Arial" w:hAnsi="Arial"/>
                <w:color w:val="000000"/>
                <w:lang w:val="en-AU" w:eastAsia="en-US"/>
              </w:rPr>
              <w:t>TOTALS</w:t>
            </w:r>
          </w:p>
        </w:tc>
        <w:tc>
          <w:tcPr>
            <w:tcW w:w="2194" w:type="dxa"/>
            <w:gridSpan w:val="2"/>
            <w:tcBorders>
              <w:top w:val="single" w:sz="6" w:space="0" w:color="000000"/>
              <w:start w:val="single" w:sz="6" w:space="0" w:color="000000"/>
              <w:bottom w:val="single" w:sz="12" w:space="0" w:color="000000"/>
              <w:end w:val="single" w:sz="6" w:space="0" w:color="000000"/>
            </w:tcBorders>
          </w:tcPr>
          <w:p>
            <w:pPr>
              <w:pStyle w:val="Normal"/>
              <w:jc w:val="center"/>
              <w:rPr>
                <w:rFonts w:ascii="Arial" w:hAnsi="Arial" w:cs="Arial"/>
                <w:color w:val="000000"/>
                <w:lang w:val="en-AU" w:eastAsia="en-US"/>
              </w:rPr>
            </w:pPr>
            <w:r>
              <w:rPr>
                <w:rFonts w:cs="Arial" w:ascii="Arial" w:hAnsi="Arial"/>
                <w:color w:val="000000"/>
                <w:lang w:val="en-AU" w:eastAsia="en-US"/>
              </w:rPr>
              <w:t>1655</w:t>
            </w:r>
          </w:p>
        </w:tc>
        <w:tc>
          <w:tcPr>
            <w:tcW w:w="2194" w:type="dxa"/>
            <w:gridSpan w:val="3"/>
            <w:tcBorders>
              <w:top w:val="single" w:sz="6" w:space="0" w:color="000000"/>
              <w:start w:val="single" w:sz="6" w:space="0" w:color="000000"/>
              <w:bottom w:val="single" w:sz="12" w:space="0" w:color="000000"/>
              <w:end w:val="single" w:sz="6" w:space="0" w:color="000000"/>
            </w:tcBorders>
          </w:tcPr>
          <w:p>
            <w:pPr>
              <w:pStyle w:val="Normal"/>
              <w:jc w:val="center"/>
              <w:rPr>
                <w:rFonts w:ascii="Arial" w:hAnsi="Arial" w:cs="Arial"/>
                <w:color w:val="000000"/>
                <w:lang w:val="en-AU" w:eastAsia="en-US"/>
              </w:rPr>
            </w:pPr>
            <w:r>
              <w:rPr>
                <w:rFonts w:cs="Arial" w:ascii="Arial" w:hAnsi="Arial"/>
                <w:color w:val="000000"/>
                <w:lang w:val="en-AU" w:eastAsia="en-US"/>
              </w:rPr>
              <w:t>1075</w:t>
            </w:r>
          </w:p>
        </w:tc>
        <w:tc>
          <w:tcPr>
            <w:tcW w:w="2194" w:type="dxa"/>
            <w:gridSpan w:val="3"/>
            <w:tcBorders>
              <w:top w:val="single" w:sz="6" w:space="0" w:color="000000"/>
              <w:start w:val="single" w:sz="6" w:space="0" w:color="000000"/>
              <w:bottom w:val="single" w:sz="12" w:space="0" w:color="000000"/>
              <w:end w:val="single" w:sz="6" w:space="0" w:color="000000"/>
            </w:tcBorders>
          </w:tcPr>
          <w:p>
            <w:pPr>
              <w:pStyle w:val="Normal"/>
              <w:jc w:val="center"/>
              <w:rPr>
                <w:rFonts w:ascii="Arial" w:hAnsi="Arial" w:cs="Arial"/>
                <w:color w:val="000000"/>
                <w:lang w:val="en-AU" w:eastAsia="en-US"/>
              </w:rPr>
            </w:pPr>
            <w:r>
              <w:rPr>
                <w:rFonts w:cs="Arial" w:ascii="Arial" w:hAnsi="Arial"/>
                <w:color w:val="000000"/>
                <w:lang w:val="en-AU" w:eastAsia="en-US"/>
              </w:rPr>
              <w:t>580</w:t>
            </w:r>
          </w:p>
        </w:tc>
        <w:tc>
          <w:tcPr>
            <w:tcW w:w="2268" w:type="dxa"/>
            <w:tcBorders>
              <w:top w:val="single" w:sz="6" w:space="0" w:color="000000"/>
              <w:start w:val="single" w:sz="6" w:space="0" w:color="000000"/>
              <w:bottom w:val="single" w:sz="12" w:space="0" w:color="000000"/>
              <w:end w:val="single" w:sz="12" w:space="0" w:color="000000"/>
            </w:tcBorders>
          </w:tcPr>
          <w:p>
            <w:pPr>
              <w:pStyle w:val="Normal"/>
              <w:jc w:val="center"/>
              <w:rPr>
                <w:rFonts w:ascii="Arial" w:hAnsi="Arial" w:cs="Arial"/>
                <w:color w:val="000000"/>
                <w:lang w:val="en-AU" w:eastAsia="en-US"/>
              </w:rPr>
            </w:pPr>
            <w:r>
              <w:rPr>
                <w:rFonts w:cs="Arial" w:ascii="Arial" w:hAnsi="Arial"/>
                <w:color w:val="000000"/>
                <w:lang w:val="en-AU" w:eastAsia="en-US"/>
              </w:rPr>
              <w:t>26,480</w:t>
            </w:r>
          </w:p>
        </w:tc>
      </w:tr>
      <w:tr>
        <w:trPr/>
        <w:tc>
          <w:tcPr>
            <w:tcW w:w="2518" w:type="dxa"/>
            <w:gridSpan w:val="3"/>
            <w:tcBorders>
              <w:start w:val="single" w:sz="12" w:space="0" w:color="000000"/>
            </w:tcBorders>
          </w:tcPr>
          <w:p>
            <w:pPr>
              <w:pStyle w:val="Normal"/>
              <w:rPr>
                <w:rFonts w:ascii="Arial" w:hAnsi="Arial" w:cs="Arial"/>
                <w:sz w:val="18"/>
              </w:rPr>
            </w:pPr>
            <w:r>
              <w:rPr>
                <w:rFonts w:cs="Arial" w:ascii="Arial" w:hAnsi="Arial"/>
                <w:sz w:val="18"/>
              </w:rPr>
              <w:t>Rohan Ziegelaar (London)</w:t>
            </w:r>
          </w:p>
        </w:tc>
        <w:tc>
          <w:tcPr>
            <w:tcW w:w="2835" w:type="dxa"/>
            <w:gridSpan w:val="2"/>
            <w:tcBorders>
              <w:end w:val="single" w:sz="6" w:space="0" w:color="000000"/>
            </w:tcBorders>
          </w:tcPr>
          <w:p>
            <w:pPr>
              <w:pStyle w:val="Normal"/>
              <w:rPr>
                <w:rFonts w:ascii="Arial" w:hAnsi="Arial" w:cs="Arial"/>
                <w:sz w:val="18"/>
              </w:rPr>
            </w:pPr>
            <w:r>
              <w:rPr>
                <w:rFonts w:cs="Arial" w:ascii="Arial" w:hAnsi="Arial"/>
                <w:sz w:val="18"/>
              </w:rPr>
              <w:t>Direct Tel: 44(0)20 7783 2415</w:t>
            </w:r>
          </w:p>
        </w:tc>
        <w:tc>
          <w:tcPr>
            <w:tcW w:w="2585" w:type="dxa"/>
            <w:gridSpan w:val="4"/>
            <w:tcBorders>
              <w:start w:val="single" w:sz="6" w:space="0" w:color="000000"/>
              <w:end w:val="single" w:sz="6" w:space="0" w:color="000000"/>
            </w:tcBorders>
          </w:tcPr>
          <w:p>
            <w:pPr>
              <w:pStyle w:val="Normal"/>
              <w:rPr>
                <w:rFonts w:ascii="Arial" w:hAnsi="Arial" w:cs="Arial"/>
                <w:sz w:val="18"/>
              </w:rPr>
            </w:pPr>
            <w:r>
              <w:rPr>
                <w:rFonts w:cs="Arial" w:ascii="Arial" w:hAnsi="Arial"/>
                <w:sz w:val="18"/>
              </w:rPr>
              <w:t>Fax: +44 (0)20 7783 1419</w:t>
            </w:r>
          </w:p>
        </w:tc>
        <w:tc>
          <w:tcPr>
            <w:tcW w:w="3106" w:type="dxa"/>
            <w:gridSpan w:val="2"/>
            <w:tcBorders>
              <w:start w:val="single" w:sz="6" w:space="0" w:color="000000"/>
              <w:end w:val="single" w:sz="12" w:space="0" w:color="000000"/>
            </w:tcBorders>
          </w:tcPr>
          <w:p>
            <w:pPr>
              <w:pStyle w:val="Heading2"/>
              <w:ind w:hanging="0" w:start="0"/>
              <w:rPr>
                <w:b w:val="false"/>
                <w:sz w:val="18"/>
              </w:rPr>
            </w:pPr>
            <w:r>
              <w:rPr>
                <w:b w:val="false"/>
                <w:sz w:val="18"/>
              </w:rPr>
              <w:t>Rohan.Ziegelaar@enron.com</w:t>
            </w:r>
          </w:p>
        </w:tc>
      </w:tr>
      <w:tr>
        <w:trPr>
          <w:trHeight w:val="160" w:hRule="atLeast"/>
        </w:trPr>
        <w:tc>
          <w:tcPr>
            <w:tcW w:w="11044" w:type="dxa"/>
            <w:gridSpan w:val="11"/>
            <w:tcBorders>
              <w:top w:val="single" w:sz="12" w:space="0" w:color="000000"/>
              <w:start w:val="single" w:sz="12" w:space="0" w:color="000000"/>
              <w:bottom w:val="single" w:sz="12" w:space="0" w:color="000000"/>
              <w:end w:val="single" w:sz="12" w:space="0" w:color="000000"/>
            </w:tcBorders>
          </w:tcPr>
          <w:p>
            <w:pPr>
              <w:pStyle w:val="Normal"/>
              <w:spacing w:lineRule="exact" w:line="120"/>
              <w:jc w:val="both"/>
              <w:rPr>
                <w:rFonts w:ascii="Arial" w:hAnsi="Arial" w:cs="Arial"/>
                <w:sz w:val="14"/>
              </w:rPr>
            </w:pPr>
            <w:r>
              <w:rPr>
                <w:sz w:val="14"/>
              </w:rPr>
              <w:t>This material is provided to you for discussion purposes only and is not intended as an offer or solicitation for the purchase or sale of any financial instrument or security, nor does this material constitute investment or trading advice.  Enron Metals Limited makes no representation or warranty, express or implied, as to the truth, accuracy or completeness of this material and neither Enron Metals Limited or any of its Affiliates, nor any of Enron Metals Limited’s employees, officers or agents of its Affiliates shall be liable for any matter owing out of or in connection with this material of the use of it. Opinions expressed are the opinions of the author and do not necessarily represent the opinion of Enron Metals Limited or any of its affiliates. Enron Metals limited or its affiliates may hold positions or make markets in financial instruments identical or economically related to transactions discussed herein.</w:t>
            </w:r>
          </w:p>
        </w:tc>
      </w:tr>
    </w:tbl>
    <w:p>
      <w:pPr>
        <w:pStyle w:val="Normal"/>
        <w:rPr>
          <w:sz w:val="2"/>
        </w:rPr>
      </w:pPr>
      <w:r>
        <w:rPr>
          <w:sz w:val="2"/>
        </w:rPr>
      </w:r>
    </w:p>
    <w:sectPr>
      <w:type w:val="nextPage"/>
      <w:pgSz w:w="11906" w:h="16838"/>
      <w:pgMar w:left="576" w:right="576" w:gutter="0" w:header="0" w:top="360" w:footer="0" w:bottom="30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eastAsia="zh-CN" w:bidi="hi-IN"/>
    </w:rPr>
  </w:style>
  <w:style w:type="paragraph" w:styleId="Heading1">
    <w:name w:val="heading 1"/>
    <w:basedOn w:val="Normal"/>
    <w:next w:val="Normal"/>
    <w:qFormat/>
    <w:pPr>
      <w:keepNext w:val="true"/>
      <w:numPr>
        <w:ilvl w:val="0"/>
        <w:numId w:val="1"/>
      </w:numPr>
      <w:tabs>
        <w:tab w:val="clear" w:pos="720"/>
        <w:tab w:val="left" w:pos="9450" w:leader="none"/>
        <w:tab w:val="left" w:pos="9540" w:leader="none"/>
      </w:tabs>
      <w:ind w:hanging="0" w:start="0" w:end="252"/>
      <w:jc w:val="end"/>
      <w:outlineLvl w:val="0"/>
    </w:pPr>
    <w:rPr>
      <w:rFonts w:ascii="Arial" w:hAnsi="Arial" w:cs="Arial"/>
      <w:b/>
      <w:sz w:val="40"/>
      <w:lang w:val="en-US"/>
    </w:rPr>
  </w:style>
  <w:style w:type="paragraph" w:styleId="Heading2">
    <w:name w:val="heading 2"/>
    <w:basedOn w:val="Normal"/>
    <w:next w:val="Normal"/>
    <w:qFormat/>
    <w:pPr>
      <w:keepNext w:val="true"/>
      <w:numPr>
        <w:ilvl w:val="1"/>
        <w:numId w:val="1"/>
      </w:numPr>
      <w:outlineLvl w:val="1"/>
    </w:pPr>
    <w:rPr>
      <w:rFonts w:ascii="Arial" w:hAnsi="Arial" w:cs="Arial"/>
      <w:b/>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rFonts w:ascii="Arial" w:hAnsi="Arial" w:cs="Arial"/>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jc w:val="both"/>
    </w:pPr>
    <w:rPr>
      <w:rFonts w:ascii="Arial" w:hAnsi="Arial" w:cs="Arial"/>
      <w:sz w:val="19"/>
    </w:rPr>
  </w:style>
  <w:style w:type="paragraph" w:styleId="BodyText3">
    <w:name w:val="Body Text 3"/>
    <w:basedOn w:val="Normal"/>
    <w:qFormat/>
    <w:pPr>
      <w:jc w:val="both"/>
    </w:pPr>
    <w:rPr>
      <w:rFonts w:ascii="Arial" w:hAnsi="Arial" w:cs="Arial"/>
      <w:sz w:val="18"/>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wmf"/><Relationship Id="rId4" Type="http://schemas.openxmlformats.org/officeDocument/2006/relationships/image" Target="media/image3.wmf"/><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103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2001-01-24T16:00:00Z</dcterms:created>
  <dc:creator>RZIEGELAAR</dc:creator>
  <dc:description/>
  <dc:language>en-CA</dc:language>
  <cp:lastModifiedBy>RZiegela</cp:lastModifiedBy>
  <cp:lastPrinted>2001-01-12T13:21:00Z</cp:lastPrinted>
  <dcterms:modified xsi:type="dcterms:W3CDTF">2001-01-25T08:26:00Z</dcterms:modified>
  <cp:revision>5</cp:revision>
  <dc:subject/>
  <dc:title> </dc:title>
</cp:coreProperties>
</file>