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jc w:val="start"/>
        <w:rPr>
          <w:rFonts w:ascii="Book Antiqua" w:hAnsi="Book Antiqua" w:eastAsia="Book Antiqua" w:cs="Book Antiqua"/>
          <w:sz w:val="30"/>
          <w:szCs w:val="30"/>
        </w:rPr>
      </w:pPr>
      <w:r>
        <w:rPr>
          <w:rFonts w:eastAsia="Book Antiqua" w:cs="Book Antiqua" w:ascii="Book Antiqua" w:hAnsi="Book Antiqua"/>
          <w:sz w:val="30"/>
          <w:szCs w:val="30"/>
        </w:rPr>
        <w:t>C</w:t>
      </w:r>
      <w:r>
        <w:rPr>
          <w:rFonts w:eastAsia="Book Antiqua" w:cs="Book Antiqua" w:ascii="Book Antiqua" w:hAnsi="Book Antiqua"/>
          <w:sz w:val="26"/>
          <w:szCs w:val="26"/>
        </w:rPr>
        <w:t>RAIG</w:t>
      </w:r>
      <w:r>
        <w:rPr>
          <w:rFonts w:eastAsia="Book Antiqua" w:cs="Book Antiqua" w:ascii="Book Antiqua" w:hAnsi="Book Antiqua"/>
          <w:sz w:val="30"/>
          <w:szCs w:val="30"/>
        </w:rPr>
        <w:t xml:space="preserve"> P. J</w:t>
      </w:r>
      <w:r>
        <w:rPr>
          <w:rFonts w:eastAsia="Book Antiqua" w:cs="Book Antiqua" w:ascii="Book Antiqua" w:hAnsi="Book Antiqua"/>
          <w:sz w:val="26"/>
          <w:szCs w:val="26"/>
        </w:rPr>
        <w:t>EFFERS</w:t>
      </w:r>
    </w:p>
    <w:p>
      <w:pPr>
        <w:pStyle w:val="Normal"/>
        <w:widowControl/>
        <w:pBdr>
          <w:bottom w:val="single" w:sz="12" w:space="5" w:color="000000"/>
        </w:pBdr>
        <w:rPr/>
      </w:pPr>
      <w:r>
        <w:rPr>
          <w:rFonts w:eastAsia="Book Antiqua" w:cs="Book Antiqua" w:ascii="Book Antiqua" w:hAnsi="Book Antiqua"/>
          <w:b/>
          <w:bCs/>
        </w:rPr>
        <w:t>Address</w:t>
      </w:r>
      <w:r>
        <w:rPr>
          <w:rFonts w:eastAsia="Book Antiqua" w:cs="Book Antiqua" w:ascii="Book Antiqua" w:hAnsi="Book Antiqua"/>
        </w:rPr>
        <w:t xml:space="preserve">: 4807 Pin Oak Park #3305 </w:t>
      </w:r>
      <w:r>
        <w:rPr>
          <w:rFonts w:eastAsia="Symbol" w:cs="Symbol" w:ascii="Symbol" w:hAnsi="Symbol"/>
        </w:rPr>
        <w:sym w:font="Symbol" w:char="b7"/>
      </w:r>
      <w:r>
        <w:rPr>
          <w:rFonts w:eastAsia="Book Antiqua" w:cs="Book Antiqua" w:ascii="Book Antiqua" w:hAnsi="Book Antiqua"/>
        </w:rPr>
        <w:t xml:space="preserve"> Houston, Texas 77081 </w:t>
      </w:r>
    </w:p>
    <w:p>
      <w:pPr>
        <w:pStyle w:val="Normal"/>
        <w:widowControl/>
        <w:pBdr>
          <w:bottom w:val="single" w:sz="12" w:space="5" w:color="000000"/>
        </w:pBdr>
        <w:rPr/>
      </w:pPr>
      <w:r>
        <w:rPr>
          <w:rFonts w:eastAsia="Book Antiqua" w:cs="Book Antiqua" w:ascii="Book Antiqua" w:hAnsi="Book Antiqua"/>
          <w:b/>
          <w:bCs/>
        </w:rPr>
        <w:t>Telephone:</w:t>
      </w:r>
      <w:r>
        <w:rPr>
          <w:rFonts w:eastAsia="Book Antiqua" w:cs="Book Antiqua" w:ascii="Book Antiqua" w:hAnsi="Book Antiqua"/>
        </w:rPr>
        <w:t xml:space="preserve"> 713-962-6269 (Mon-Fri) 713-838-0554 (Weekends) </w:t>
      </w:r>
      <w:r>
        <w:rPr>
          <w:rFonts w:eastAsia="Symbol" w:cs="Symbol" w:ascii="Symbol" w:hAnsi="Symbol"/>
        </w:rPr>
        <w:sym w:font="Symbol" w:char="b7"/>
      </w:r>
      <w:r>
        <w:rPr>
          <w:rFonts w:eastAsia="Book Antiqua" w:cs="Book Antiqua" w:ascii="Book Antiqua" w:hAnsi="Book Antiqua"/>
        </w:rPr>
        <w:t xml:space="preserve"> </w:t>
      </w:r>
      <w:r>
        <w:rPr>
          <w:rFonts w:eastAsia="Book Antiqua" w:cs="Book Antiqua" w:ascii="Book Antiqua" w:hAnsi="Book Antiqua"/>
          <w:b/>
          <w:bCs/>
        </w:rPr>
        <w:t xml:space="preserve">Email: </w:t>
      </w:r>
      <w:r>
        <w:rPr>
          <w:rFonts w:eastAsia="Book Antiqua" w:cs="Book Antiqua" w:ascii="Book Antiqua" w:hAnsi="Book Antiqua"/>
        </w:rPr>
        <w:t xml:space="preserve">craigjeffers@hotmail.com </w:t>
      </w:r>
    </w:p>
    <w:p>
      <w:pPr>
        <w:pStyle w:val="Heading1"/>
        <w:widowControl/>
        <w:ind w:hanging="0" w:start="0"/>
        <w:rPr>
          <w:rFonts w:ascii="Book Antiqua" w:hAnsi="Book Antiqua" w:eastAsia="Book Antiqua" w:cs="Book Antiqua"/>
          <w:b w:val="false"/>
          <w:bCs w:val="false"/>
        </w:rPr>
      </w:pPr>
      <w:r>
        <w:rPr>
          <w:rFonts w:eastAsia="Book Antiqua" w:cs="Book Antiqua" w:ascii="Book Antiqua" w:hAnsi="Book Antiqua"/>
          <w:sz w:val="26"/>
          <w:szCs w:val="26"/>
          <w:u w:val="single"/>
        </w:rPr>
        <w:t>O</w:t>
      </w:r>
      <w:r>
        <w:rPr>
          <w:rFonts w:eastAsia="Book Antiqua" w:cs="Book Antiqua" w:ascii="Book Antiqua" w:hAnsi="Book Antiqua"/>
          <w:u w:val="single"/>
        </w:rPr>
        <w:t>BJECTIVE</w:t>
      </w:r>
    </w:p>
    <w:p>
      <w:pPr>
        <w:pStyle w:val="Heading1"/>
        <w:widowControl/>
        <w:ind w:hanging="0" w:start="0"/>
        <w:rPr>
          <w:rFonts w:ascii="Book Antiqua" w:hAnsi="Book Antiqua" w:eastAsia="Book Antiqua" w:cs="Book Antiqua"/>
          <w:sz w:val="14"/>
          <w:szCs w:val="14"/>
          <w:u w:val="single"/>
        </w:rPr>
      </w:pPr>
      <w:r>
        <w:rPr>
          <w:b w:val="false"/>
          <w:bCs w:val="false"/>
          <w:sz w:val="20"/>
          <w:szCs w:val="20"/>
        </w:rPr>
        <w:t>Obtain a trading/risk management position with a leading energy company that will allow me to utilize my current industry knowledge while also providing a competitive platform for growth and innovation in a fast-paced, professional environment.</w:t>
      </w:r>
    </w:p>
    <w:p>
      <w:pPr>
        <w:pStyle w:val="Normal"/>
        <w:rPr>
          <w:rFonts w:ascii="Book Antiqua" w:hAnsi="Book Antiqua" w:eastAsia="Book Antiqua" w:cs="Book Antiqua"/>
          <w:sz w:val="6"/>
          <w:szCs w:val="6"/>
          <w:u w:val="single"/>
        </w:rPr>
      </w:pPr>
      <w:r>
        <w:rPr>
          <w:rFonts w:eastAsia="Book Antiqua" w:cs="Book Antiqua" w:ascii="Book Antiqua" w:hAnsi="Book Antiqua"/>
          <w:sz w:val="6"/>
          <w:szCs w:val="6"/>
          <w:u w:val="single"/>
        </w:rPr>
      </w:r>
    </w:p>
    <w:p>
      <w:pPr>
        <w:pStyle w:val="Heading1"/>
        <w:widowControl/>
        <w:ind w:hanging="0" w:start="0"/>
        <w:rPr/>
      </w:pPr>
      <w:r>
        <w:rPr>
          <w:rFonts w:eastAsia="Book Antiqua" w:cs="Book Antiqua" w:ascii="Book Antiqua" w:hAnsi="Book Antiqua"/>
          <w:sz w:val="26"/>
          <w:szCs w:val="26"/>
          <w:u w:val="single"/>
        </w:rPr>
        <w:t>E</w:t>
      </w:r>
      <w:r>
        <w:rPr>
          <w:rFonts w:eastAsia="Book Antiqua" w:cs="Book Antiqua" w:ascii="Book Antiqua" w:hAnsi="Book Antiqua"/>
          <w:u w:val="single"/>
        </w:rPr>
        <w:t>XPERIENCE</w:t>
      </w:r>
    </w:p>
    <w:p>
      <w:pPr>
        <w:pStyle w:val="Normal"/>
        <w:widowControl/>
        <w:rPr>
          <w:b/>
          <w:bCs/>
          <w:sz w:val="22"/>
          <w:szCs w:val="22"/>
        </w:rPr>
      </w:pPr>
      <w:r>
        <w:rPr>
          <w:b/>
          <w:bCs/>
          <w:sz w:val="22"/>
          <w:szCs w:val="22"/>
        </w:rPr>
        <w:t>Cap Gemini Ernst &amp; Young (formerly Ernst &amp; Young, LLP)</w:t>
        <w:tab/>
        <w:tab/>
        <w:tab/>
      </w:r>
      <w:r>
        <w:rPr>
          <w:b/>
          <w:bCs/>
        </w:rPr>
        <w:t>December 1998 - Present</w:t>
      </w:r>
    </w:p>
    <w:p>
      <w:pPr>
        <w:pStyle w:val="Normal"/>
        <w:widowControl/>
        <w:rPr/>
      </w:pPr>
      <w:r>
        <w:rPr>
          <w:b/>
          <w:bCs/>
          <w:i/>
          <w:iCs/>
          <w:sz w:val="21"/>
          <w:szCs w:val="21"/>
        </w:rPr>
        <w:t>Senior Consultant, Energy &amp; Utilities Group</w:t>
      </w:r>
      <w:r>
        <w:rPr>
          <w:b/>
          <w:bCs/>
          <w:sz w:val="21"/>
          <w:szCs w:val="21"/>
        </w:rPr>
        <w:tab/>
        <w:tab/>
        <w:tab/>
        <w:tab/>
        <w:tab/>
        <w:tab/>
      </w:r>
    </w:p>
    <w:p>
      <w:pPr>
        <w:pStyle w:val="Heading5"/>
        <w:widowControl/>
        <w:ind w:firstLine="360" w:start="0" w:end="0"/>
        <w:rPr/>
      </w:pPr>
      <w:r>
        <w:rPr>
          <w:i w:val="false"/>
          <w:iCs w:val="false"/>
        </w:rPr>
        <w:t>Portland General Electric (Portland, OR),</w:t>
      </w:r>
      <w:r>
        <w:rPr/>
        <w:t xml:space="preserve"> Utility Deregulation Analyst (Senior Consultant)</w:t>
      </w:r>
    </w:p>
    <w:p>
      <w:pPr>
        <w:pStyle w:val="Normal"/>
        <w:widowControl/>
        <w:numPr>
          <w:ilvl w:val="0"/>
          <w:numId w:val="2"/>
        </w:numPr>
        <w:tabs>
          <w:tab w:val="clear" w:pos="720"/>
          <w:tab w:val="left" w:pos="0" w:leader="none"/>
        </w:tabs>
        <w:ind w:hanging="720" w:start="1260" w:end="0"/>
        <w:rPr/>
      </w:pPr>
      <w:r>
        <w:rPr/>
        <w:t xml:space="preserve">Co-led Portland General Electric (PGE) management through a three-month strategy assessment of the business ramifications of Oregon’s Senate Bill 1149, which deregulates the utility industry for non–residential customers in Oregon, and identified how it would impact both the marketplace and the business processes of PGE. </w:t>
      </w:r>
    </w:p>
    <w:p>
      <w:pPr>
        <w:pStyle w:val="Normal"/>
        <w:widowControl/>
        <w:numPr>
          <w:ilvl w:val="0"/>
          <w:numId w:val="2"/>
        </w:numPr>
        <w:tabs>
          <w:tab w:val="clear" w:pos="720"/>
          <w:tab w:val="left" w:pos="0" w:leader="none"/>
        </w:tabs>
        <w:ind w:hanging="720" w:start="1260" w:end="0"/>
        <w:rPr/>
      </w:pPr>
      <w:r>
        <w:rPr/>
        <w:t>Worked with PGE management to design and build an internal business office for handling all retail energy service supplier (ESS) relationships and business functions including GL accounting, load forecasting, B2B Billing, credit/risk exposure, customer enrollment, and direct access tariffs and service agreements.</w:t>
      </w:r>
    </w:p>
    <w:p>
      <w:pPr>
        <w:pStyle w:val="Normal"/>
        <w:widowControl/>
        <w:numPr>
          <w:ilvl w:val="0"/>
          <w:numId w:val="2"/>
        </w:numPr>
        <w:tabs>
          <w:tab w:val="clear" w:pos="720"/>
          <w:tab w:val="left" w:pos="0" w:leader="none"/>
        </w:tabs>
        <w:ind w:hanging="720" w:start="1260" w:end="0"/>
        <w:rPr/>
      </w:pPr>
      <w:r>
        <w:rPr/>
        <w:t xml:space="preserve">Analyzed and researched best practices of other deregulated states for benchmark data to be incorporated into the design of PGE’s systems and business processes regarding the opening of a competitive utility marketplace, and presented these findings to PGE management and Public Utility Commission representatives.  </w:t>
      </w:r>
    </w:p>
    <w:p>
      <w:pPr>
        <w:pStyle w:val="Normal"/>
        <w:widowControl/>
        <w:numPr>
          <w:ilvl w:val="0"/>
          <w:numId w:val="2"/>
        </w:numPr>
        <w:tabs>
          <w:tab w:val="clear" w:pos="720"/>
          <w:tab w:val="left" w:pos="0" w:leader="none"/>
        </w:tabs>
        <w:ind w:hanging="720" w:start="1260" w:end="0"/>
        <w:rPr/>
      </w:pPr>
      <w:r>
        <w:rPr/>
        <w:t>Developed and managed simultaneous project timelines, activities, and interdependencies of 13 various deregulation driven projects including new energy supplier relations, customer relationship management, load forecasting/profiling, settlements/reconciliation, among others.</w:t>
      </w:r>
    </w:p>
    <w:p>
      <w:pPr>
        <w:pStyle w:val="Heading5"/>
        <w:widowControl/>
        <w:numPr>
          <w:ilvl w:val="0"/>
          <w:numId w:val="0"/>
        </w:numPr>
        <w:ind w:hanging="0" w:start="0" w:end="0"/>
        <w:rPr/>
      </w:pPr>
      <w:r>
        <w:rPr>
          <w:i w:val="false"/>
          <w:iCs w:val="false"/>
        </w:rPr>
        <w:t>Enron Corporation (Houston, TX),</w:t>
      </w:r>
      <w:r>
        <w:rPr/>
        <w:t xml:space="preserve"> Business/Systems Architect (Staff Consultant)</w:t>
      </w:r>
    </w:p>
    <w:p>
      <w:pPr>
        <w:pStyle w:val="Normal"/>
        <w:widowControl/>
        <w:numPr>
          <w:ilvl w:val="0"/>
          <w:numId w:val="2"/>
        </w:numPr>
        <w:tabs>
          <w:tab w:val="clear" w:pos="720"/>
          <w:tab w:val="left" w:pos="0" w:leader="none"/>
        </w:tabs>
        <w:ind w:hanging="720" w:start="1260" w:end="0"/>
        <w:rPr/>
      </w:pPr>
      <w:r>
        <w:rPr/>
        <w:t>Worked with Enron and PGE Accounts Payable and Receivable (AP/AR) department representatives to document the required business processes surrounding the AP/AR functions in order to design successful training material for the SAP implementation.</w:t>
      </w:r>
    </w:p>
    <w:p>
      <w:pPr>
        <w:pStyle w:val="Normal"/>
        <w:widowControl/>
        <w:numPr>
          <w:ilvl w:val="0"/>
          <w:numId w:val="2"/>
        </w:numPr>
        <w:tabs>
          <w:tab w:val="clear" w:pos="720"/>
          <w:tab w:val="left" w:pos="0" w:leader="none"/>
        </w:tabs>
        <w:ind w:hanging="720" w:start="1260" w:end="0"/>
        <w:rPr>
          <w:b/>
          <w:bCs/>
          <w:sz w:val="21"/>
          <w:szCs w:val="21"/>
        </w:rPr>
      </w:pPr>
      <w:r>
        <w:rPr/>
        <w:t xml:space="preserve">Delivered on-site training to over 60 end-users on the transactional usage of the AP/AR modules of SAP.  These classes included AP and AR professionals from Enron, PGE, and NEPCO and resulted in a high level, functional understanding of how business transactions are performed in the SAP system.  </w:t>
      </w:r>
    </w:p>
    <w:p>
      <w:pPr>
        <w:pStyle w:val="Normal"/>
        <w:widowControl/>
        <w:numPr>
          <w:ilvl w:val="0"/>
          <w:numId w:val="0"/>
        </w:numPr>
        <w:ind w:hanging="0" w:start="0"/>
        <w:rPr>
          <w:b/>
          <w:bCs/>
          <w:sz w:val="6"/>
          <w:szCs w:val="6"/>
        </w:rPr>
      </w:pPr>
      <w:r>
        <w:rPr>
          <w:b/>
          <w:bCs/>
          <w:sz w:val="6"/>
          <w:szCs w:val="6"/>
        </w:rPr>
      </w:r>
    </w:p>
    <w:p>
      <w:pPr>
        <w:pStyle w:val="Normal"/>
        <w:widowControl/>
        <w:numPr>
          <w:ilvl w:val="0"/>
          <w:numId w:val="0"/>
        </w:numPr>
        <w:ind w:hanging="0" w:start="0"/>
        <w:rPr/>
      </w:pPr>
      <w:r>
        <w:rPr>
          <w:b/>
          <w:bCs/>
          <w:sz w:val="22"/>
          <w:szCs w:val="22"/>
        </w:rPr>
        <w:t>Joseph T. Ryerson and Son, Inc. (Dallas, TX)</w:t>
      </w:r>
      <w:r>
        <w:rPr>
          <w:b/>
          <w:bCs/>
        </w:rPr>
        <w:tab/>
        <w:tab/>
        <w:tab/>
        <w:tab/>
        <w:tab/>
        <w:t>May 1997 - Aug. 1997</w:t>
      </w:r>
    </w:p>
    <w:p>
      <w:pPr>
        <w:pStyle w:val="Heading7"/>
        <w:widowControl/>
        <w:numPr>
          <w:ilvl w:val="0"/>
          <w:numId w:val="0"/>
        </w:numPr>
        <w:ind w:hanging="0" w:start="0" w:end="0"/>
        <w:rPr/>
      </w:pPr>
      <w:r>
        <w:rPr/>
        <w:t>Contract Management Group Analyst</w:t>
      </w:r>
    </w:p>
    <w:p>
      <w:pPr>
        <w:pStyle w:val="Normal"/>
        <w:widowControl/>
        <w:numPr>
          <w:ilvl w:val="0"/>
          <w:numId w:val="2"/>
        </w:numPr>
        <w:tabs>
          <w:tab w:val="clear" w:pos="720"/>
          <w:tab w:val="left" w:pos="0" w:leader="none"/>
        </w:tabs>
        <w:ind w:hanging="720" w:start="1170" w:end="0"/>
        <w:rPr>
          <w:b/>
          <w:bCs/>
        </w:rPr>
      </w:pPr>
      <w:r>
        <w:rPr/>
        <w:t>Analyzed purchasing and sales trends, profit margin data, and contractual pricing agreements to determine target accounts for marketing efforts and pursuits.</w:t>
      </w:r>
    </w:p>
    <w:p>
      <w:pPr>
        <w:pStyle w:val="Normal"/>
        <w:widowControl/>
        <w:numPr>
          <w:ilvl w:val="0"/>
          <w:numId w:val="2"/>
        </w:numPr>
        <w:tabs>
          <w:tab w:val="clear" w:pos="720"/>
          <w:tab w:val="left" w:pos="0" w:leader="none"/>
        </w:tabs>
        <w:ind w:hanging="720" w:start="1170" w:end="0"/>
        <w:rPr>
          <w:b/>
          <w:bCs/>
        </w:rPr>
      </w:pPr>
      <w:r>
        <w:rPr/>
        <w:t xml:space="preserve">Created complex pricing models in Excel for various contract accounts that analyzed account and supplier profitability and identified cost and price margin information for the accounts.  </w:t>
      </w:r>
    </w:p>
    <w:p>
      <w:pPr>
        <w:pStyle w:val="Normal"/>
        <w:widowControl/>
        <w:rPr>
          <w:sz w:val="6"/>
          <w:szCs w:val="6"/>
        </w:rPr>
      </w:pPr>
      <w:r>
        <w:rPr>
          <w:sz w:val="6"/>
          <w:szCs w:val="6"/>
        </w:rPr>
      </w:r>
    </w:p>
    <w:p>
      <w:pPr>
        <w:pStyle w:val="Heading1"/>
        <w:widowControl/>
        <w:ind w:hanging="0" w:start="0"/>
        <w:rPr/>
      </w:pPr>
      <w:r>
        <w:rPr>
          <w:rFonts w:eastAsia="Book Antiqua" w:cs="Book Antiqua" w:ascii="Book Antiqua" w:hAnsi="Book Antiqua"/>
          <w:sz w:val="26"/>
          <w:szCs w:val="26"/>
          <w:u w:val="single"/>
        </w:rPr>
        <w:t>E</w:t>
      </w:r>
      <w:r>
        <w:rPr>
          <w:rFonts w:eastAsia="Book Antiqua" w:cs="Book Antiqua" w:ascii="Book Antiqua" w:hAnsi="Book Antiqua"/>
          <w:u w:val="single"/>
        </w:rPr>
        <w:t xml:space="preserve">DUCATION and </w:t>
      </w:r>
      <w:r>
        <w:rPr>
          <w:rFonts w:eastAsia="Book Antiqua" w:cs="Book Antiqua" w:ascii="Book Antiqua" w:hAnsi="Book Antiqua"/>
          <w:sz w:val="26"/>
          <w:szCs w:val="26"/>
          <w:u w:val="single"/>
        </w:rPr>
        <w:t>A</w:t>
      </w:r>
      <w:r>
        <w:rPr>
          <w:rFonts w:eastAsia="Book Antiqua" w:cs="Book Antiqua" w:ascii="Book Antiqua" w:hAnsi="Book Antiqua"/>
          <w:u w:val="single"/>
        </w:rPr>
        <w:t>CTIVITIES</w:t>
      </w:r>
    </w:p>
    <w:p>
      <w:pPr>
        <w:pStyle w:val="Heading3"/>
        <w:widowControl/>
        <w:ind w:start="0" w:end="0"/>
        <w:rPr/>
      </w:pPr>
      <w:r>
        <w:rPr>
          <w:sz w:val="22"/>
          <w:szCs w:val="22"/>
        </w:rPr>
        <w:t>Texas A&amp;M University</w:t>
      </w:r>
      <w:r>
        <w:rPr/>
        <w:t xml:space="preserve">, </w:t>
      </w:r>
      <w:r>
        <w:rPr>
          <w:i/>
          <w:iCs/>
          <w:sz w:val="20"/>
          <w:szCs w:val="20"/>
        </w:rPr>
        <w:t>College of Engineering</w:t>
      </w:r>
      <w:r>
        <w:rPr/>
        <w:tab/>
        <w:tab/>
        <w:tab/>
        <w:tab/>
        <w:tab/>
      </w:r>
      <w:r>
        <w:rPr>
          <w:sz w:val="20"/>
          <w:szCs w:val="20"/>
        </w:rPr>
        <w:t>December 1998</w:t>
        <w:tab/>
      </w:r>
      <w:r>
        <w:rPr/>
        <w:tab/>
      </w:r>
    </w:p>
    <w:p>
      <w:pPr>
        <w:pStyle w:val="Normal"/>
        <w:widowControl/>
        <w:rPr>
          <w:b/>
          <w:bCs/>
        </w:rPr>
      </w:pPr>
      <w:r>
        <w:rPr>
          <w:b/>
          <w:bCs/>
        </w:rPr>
        <w:t>Bachelor of Science</w:t>
      </w:r>
      <w:r>
        <w:rPr/>
        <w:t xml:space="preserve"> in Industrial Distribution, </w:t>
      </w:r>
      <w:r>
        <w:rPr>
          <w:i/>
          <w:iCs/>
        </w:rPr>
        <w:t>GPA: 3.4</w:t>
      </w:r>
      <w:r>
        <w:rPr>
          <w:sz w:val="21"/>
          <w:szCs w:val="21"/>
        </w:rPr>
        <w:t xml:space="preserve"> </w:t>
      </w:r>
    </w:p>
    <w:p>
      <w:pPr>
        <w:pStyle w:val="Heading4"/>
        <w:widowControl/>
        <w:ind w:start="0" w:end="0"/>
        <w:rPr/>
      </w:pPr>
      <w:r>
        <w:rPr>
          <w:i w:val="false"/>
          <w:iCs w:val="false"/>
        </w:rPr>
        <w:t>Sigma Delta National Honor Society,</w:t>
      </w:r>
      <w:r>
        <w:rPr/>
        <w:t xml:space="preserve"> Top 10% of Industrial Distribution students.  </w:t>
      </w:r>
    </w:p>
    <w:p>
      <w:pPr>
        <w:pStyle w:val="Heading1"/>
        <w:widowControl/>
        <w:tabs>
          <w:tab w:val="clear" w:pos="720"/>
          <w:tab w:val="left" w:pos="7020" w:leader="none"/>
        </w:tabs>
        <w:ind w:hanging="0" w:start="0"/>
        <w:rPr>
          <w:sz w:val="6"/>
          <w:szCs w:val="6"/>
        </w:rPr>
      </w:pPr>
      <w:r>
        <w:rPr>
          <w:sz w:val="6"/>
          <w:szCs w:val="6"/>
        </w:rPr>
      </w:r>
    </w:p>
    <w:p>
      <w:pPr>
        <w:pStyle w:val="Normal"/>
        <w:widowControl/>
        <w:rPr/>
      </w:pPr>
      <w:r>
        <w:rPr>
          <w:b/>
          <w:bCs/>
        </w:rPr>
        <w:t xml:space="preserve">Cystic Fibrosis Foundation, </w:t>
      </w:r>
      <w:r>
        <w:rPr>
          <w:b/>
          <w:bCs/>
          <w:i/>
          <w:iCs/>
        </w:rPr>
        <w:t>Sports Challenge Captain</w:t>
        <w:tab/>
        <w:tab/>
        <w:tab/>
        <w:tab/>
      </w:r>
      <w:r>
        <w:rPr>
          <w:b/>
          <w:bCs/>
        </w:rPr>
        <w:t>March 1999 - Present</w:t>
      </w:r>
    </w:p>
    <w:p>
      <w:pPr>
        <w:pStyle w:val="Normal"/>
        <w:widowControl/>
        <w:numPr>
          <w:ilvl w:val="0"/>
          <w:numId w:val="3"/>
        </w:numPr>
        <w:tabs>
          <w:tab w:val="clear" w:pos="720"/>
          <w:tab w:val="left" w:pos="0" w:leader="none"/>
          <w:tab w:val="left" w:pos="360" w:leader="none"/>
        </w:tabs>
        <w:ind w:hanging="720" w:start="1080" w:end="0"/>
        <w:rPr>
          <w:b/>
          <w:bCs/>
        </w:rPr>
      </w:pPr>
      <w:r>
        <w:rPr/>
        <w:t>Annual sports challenge captain and fundraising committee member (1999, 2000, 2001), responsible for raising over $10,000 for the Houston chapter of the Cystic Fibrosis Foundation.  This involved fundraising, recruiting, and coordinating numerous fundraising and awareness events.</w:t>
      </w:r>
    </w:p>
    <w:p>
      <w:pPr>
        <w:pStyle w:val="Normal"/>
        <w:widowControl/>
        <w:numPr>
          <w:ilvl w:val="0"/>
          <w:numId w:val="0"/>
        </w:numPr>
        <w:ind w:hanging="0" w:start="0"/>
        <w:rPr/>
      </w:pPr>
      <w:r>
        <w:rPr>
          <w:b/>
          <w:bCs/>
        </w:rPr>
        <w:t xml:space="preserve">Urban Business Initiative, </w:t>
      </w:r>
      <w:r>
        <w:rPr>
          <w:b/>
          <w:bCs/>
          <w:i/>
          <w:iCs/>
        </w:rPr>
        <w:t>Volunteer Consultant</w:t>
        <w:tab/>
        <w:tab/>
        <w:tab/>
        <w:tab/>
        <w:tab/>
      </w:r>
      <w:r>
        <w:rPr>
          <w:b/>
          <w:bCs/>
        </w:rPr>
        <w:t>November 1999 - Present</w:t>
      </w:r>
    </w:p>
    <w:p>
      <w:pPr>
        <w:pStyle w:val="Normal"/>
        <w:widowControl/>
        <w:numPr>
          <w:ilvl w:val="0"/>
          <w:numId w:val="3"/>
        </w:numPr>
        <w:tabs>
          <w:tab w:val="clear" w:pos="720"/>
          <w:tab w:val="left" w:pos="0" w:leader="none"/>
          <w:tab w:val="left" w:pos="360" w:leader="none"/>
        </w:tabs>
        <w:ind w:hanging="720" w:start="1080" w:end="0"/>
        <w:rPr/>
      </w:pPr>
      <w:r>
        <w:rPr/>
        <w:t xml:space="preserve">Volunteer consultant for disadvantaged Houston-based companies.  Helped Medina Medical Supply prepare a business plan to solicit investor funding and also performed market research for a competitive analysis that was incorporated into the business plan. </w:t>
      </w:r>
    </w:p>
    <w:p>
      <w:pPr>
        <w:pStyle w:val="Normal"/>
        <w:widowControl/>
        <w:numPr>
          <w:ilvl w:val="0"/>
          <w:numId w:val="0"/>
        </w:numPr>
        <w:ind w:hanging="0" w:start="0"/>
        <w:rPr/>
      </w:pPr>
      <w:r>
        <w:rPr>
          <w:b/>
          <w:bCs/>
        </w:rPr>
        <w:t xml:space="preserve">American Hope, </w:t>
      </w:r>
      <w:r>
        <w:rPr>
          <w:b/>
          <w:bCs/>
          <w:i/>
          <w:iCs/>
        </w:rPr>
        <w:t>Charter Member</w:t>
        <w:tab/>
        <w:tab/>
        <w:tab/>
        <w:tab/>
        <w:tab/>
        <w:tab/>
        <w:tab/>
      </w:r>
      <w:r>
        <w:rPr>
          <w:b/>
          <w:bCs/>
        </w:rPr>
        <w:t>January 2000 - Present</w:t>
      </w:r>
    </w:p>
    <w:p>
      <w:pPr>
        <w:pStyle w:val="Normal"/>
        <w:widowControl/>
        <w:numPr>
          <w:ilvl w:val="0"/>
          <w:numId w:val="3"/>
        </w:numPr>
        <w:tabs>
          <w:tab w:val="clear" w:pos="720"/>
          <w:tab w:val="left" w:pos="0" w:leader="none"/>
          <w:tab w:val="left" w:pos="360" w:leader="none"/>
        </w:tabs>
        <w:ind w:hanging="360" w:start="1080" w:end="0"/>
        <w:rPr>
          <w:b/>
          <w:bCs/>
        </w:rPr>
      </w:pPr>
      <w:r>
        <w:rPr/>
        <w:t>Charter member of local service-oriented, community.</w:t>
      </w:r>
    </w:p>
    <w:p>
      <w:pPr>
        <w:pStyle w:val="Normal"/>
        <w:widowControl/>
        <w:rPr>
          <w:b/>
          <w:bCs/>
        </w:rPr>
      </w:pPr>
      <w:r>
        <w:rPr>
          <w:b/>
          <w:bCs/>
        </w:rPr>
        <w:t>Activities include mountaineering (summits: Mt. Hood, Mt. Princeton, Mt. Hook), fly-fishing, skiing, and golf.</w:t>
      </w:r>
    </w:p>
    <w:p>
      <w:pPr>
        <w:pStyle w:val="Normal"/>
        <w:widowControl/>
        <w:ind w:start="270" w:end="0"/>
        <w:rPr>
          <w:b/>
          <w:bCs/>
          <w:sz w:val="6"/>
          <w:szCs w:val="6"/>
        </w:rPr>
      </w:pPr>
      <w:r>
        <w:rPr>
          <w:b/>
          <w:bCs/>
          <w:sz w:val="6"/>
          <w:szCs w:val="6"/>
        </w:rPr>
      </w:r>
    </w:p>
    <w:p>
      <w:pPr>
        <w:pStyle w:val="Heading1"/>
        <w:widowControl/>
        <w:ind w:hanging="0" w:start="0"/>
        <w:rPr/>
      </w:pPr>
      <w:r>
        <w:rPr>
          <w:rFonts w:eastAsia="Book Antiqua" w:cs="Book Antiqua" w:ascii="Book Antiqua" w:hAnsi="Book Antiqua"/>
          <w:sz w:val="26"/>
          <w:szCs w:val="26"/>
          <w:u w:val="single"/>
        </w:rPr>
        <w:t>O</w:t>
      </w:r>
      <w:r>
        <w:rPr>
          <w:rFonts w:eastAsia="Book Antiqua" w:cs="Book Antiqua" w:ascii="Book Antiqua" w:hAnsi="Book Antiqua"/>
          <w:u w:val="single"/>
        </w:rPr>
        <w:t xml:space="preserve">THER </w:t>
      </w:r>
      <w:r>
        <w:rPr>
          <w:rFonts w:eastAsia="Book Antiqua" w:cs="Book Antiqua" w:ascii="Book Antiqua" w:hAnsi="Book Antiqua"/>
          <w:sz w:val="26"/>
          <w:szCs w:val="26"/>
          <w:u w:val="single"/>
        </w:rPr>
        <w:t>S</w:t>
      </w:r>
      <w:r>
        <w:rPr>
          <w:rFonts w:eastAsia="Book Antiqua" w:cs="Book Antiqua" w:ascii="Book Antiqua" w:hAnsi="Book Antiqua"/>
          <w:u w:val="single"/>
        </w:rPr>
        <w:t xml:space="preserve">KILLS and </w:t>
      </w:r>
      <w:r>
        <w:rPr>
          <w:rFonts w:eastAsia="Book Antiqua" w:cs="Book Antiqua" w:ascii="Book Antiqua" w:hAnsi="Book Antiqua"/>
          <w:sz w:val="26"/>
          <w:szCs w:val="26"/>
          <w:u w:val="single"/>
        </w:rPr>
        <w:t>T</w:t>
      </w:r>
      <w:r>
        <w:rPr>
          <w:rFonts w:eastAsia="Book Antiqua" w:cs="Book Antiqua" w:ascii="Book Antiqua" w:hAnsi="Book Antiqua"/>
          <w:u w:val="single"/>
        </w:rPr>
        <w:t>RAINING</w:t>
      </w:r>
    </w:p>
    <w:p>
      <w:pPr>
        <w:pStyle w:val="Normal"/>
        <w:widowControl/>
        <w:numPr>
          <w:ilvl w:val="0"/>
          <w:numId w:val="4"/>
        </w:numPr>
        <w:tabs>
          <w:tab w:val="clear" w:pos="720"/>
          <w:tab w:val="left" w:pos="0" w:leader="none"/>
          <w:tab w:val="left" w:pos="360" w:leader="none"/>
        </w:tabs>
        <w:ind w:hanging="720" w:start="1080" w:end="0"/>
        <w:rPr/>
      </w:pPr>
      <w:r>
        <w:rPr/>
        <w:t>Fundamental knowledge of options trading and hedging strategies through a self-initiated study of John Hull’s textbook “Options, Futures, and Other Derivatives” and through CGEY internal training materials.</w:t>
      </w:r>
    </w:p>
    <w:p>
      <w:pPr>
        <w:pStyle w:val="Normal"/>
        <w:widowControl/>
        <w:numPr>
          <w:ilvl w:val="0"/>
          <w:numId w:val="4"/>
        </w:numPr>
        <w:tabs>
          <w:tab w:val="clear" w:pos="720"/>
          <w:tab w:val="left" w:pos="0" w:leader="none"/>
          <w:tab w:val="left" w:pos="360" w:leader="none"/>
        </w:tabs>
        <w:ind w:hanging="720" w:start="1080" w:end="0"/>
        <w:rPr/>
      </w:pPr>
      <w:r>
        <w:rPr/>
        <w:t>Detailed knowledge of the MS Office Suite, with an advanced emphasis on Microsoft Excel and Access.</w:t>
      </w:r>
    </w:p>
    <w:p>
      <w:pPr>
        <w:pStyle w:val="Normal"/>
        <w:widowControl/>
        <w:numPr>
          <w:ilvl w:val="0"/>
          <w:numId w:val="4"/>
        </w:numPr>
        <w:tabs>
          <w:tab w:val="clear" w:pos="720"/>
          <w:tab w:val="left" w:pos="0" w:leader="none"/>
          <w:tab w:val="left" w:pos="360" w:leader="none"/>
        </w:tabs>
        <w:ind w:hanging="720" w:start="1080" w:end="0"/>
        <w:rPr/>
      </w:pPr>
      <w:r>
        <w:rPr/>
        <w:t>SAP R/3 certification obtained from five-week certification academy, Sales and Distribution module.</w:t>
      </w:r>
    </w:p>
    <w:p>
      <w:pPr>
        <w:pStyle w:val="Normal"/>
        <w:widowControl/>
        <w:numPr>
          <w:ilvl w:val="0"/>
          <w:numId w:val="4"/>
        </w:numPr>
        <w:tabs>
          <w:tab w:val="clear" w:pos="720"/>
          <w:tab w:val="left" w:pos="0" w:leader="none"/>
          <w:tab w:val="left" w:pos="360" w:leader="none"/>
        </w:tabs>
        <w:ind w:hanging="360" w:start="1080" w:end="0"/>
        <w:rPr/>
      </w:pPr>
      <w:r>
        <w:rPr/>
        <w:t>Additional training in advanced team working, facilitated session leadership, and structured thinking/communication.</w:t>
      </w:r>
    </w:p>
    <w:p>
      <w:pPr>
        <w:pStyle w:val="Normal"/>
        <w:widowControl/>
        <w:tabs>
          <w:tab w:val="left" w:pos="720" w:leader="none"/>
        </w:tabs>
        <w:ind w:start="360" w:end="0"/>
        <w:rPr/>
      </w:pPr>
      <w:r>
        <w:rPr/>
      </w:r>
    </w:p>
    <w:sectPr>
      <w:type w:val="nextPage"/>
      <w:pgSz w:w="12240" w:h="15840"/>
      <w:pgMar w:left="1008" w:right="1008" w:gutter="0" w:header="0" w:top="576" w:footer="0" w:bottom="5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Book Antiqua">
    <w:charset w:val="01"/>
    <w:family w:val="roman"/>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sz w:val="22"/>
      <w:szCs w:val="22"/>
    </w:rPr>
  </w:style>
  <w:style w:type="paragraph" w:styleId="Heading2">
    <w:name w:val="heading 2"/>
    <w:basedOn w:val="Normal"/>
    <w:next w:val="Normal"/>
    <w:qFormat/>
    <w:pPr>
      <w:keepNext w:val="true"/>
      <w:numPr>
        <w:ilvl w:val="1"/>
        <w:numId w:val="1"/>
      </w:numPr>
      <w:ind w:hanging="0" w:start="270" w:end="0"/>
      <w:outlineLvl w:val="1"/>
    </w:pPr>
    <w:rPr>
      <w:b/>
      <w:bCs/>
      <w:i/>
      <w:iCs/>
    </w:rPr>
  </w:style>
  <w:style w:type="paragraph" w:styleId="Heading3">
    <w:name w:val="heading 3"/>
    <w:basedOn w:val="Normal"/>
    <w:next w:val="Normal"/>
    <w:qFormat/>
    <w:pPr>
      <w:keepNext w:val="true"/>
      <w:numPr>
        <w:ilvl w:val="2"/>
        <w:numId w:val="1"/>
      </w:numPr>
      <w:ind w:hanging="0" w:start="270" w:end="0"/>
      <w:outlineLvl w:val="2"/>
    </w:pPr>
    <w:rPr>
      <w:b/>
      <w:bCs/>
      <w:sz w:val="21"/>
      <w:szCs w:val="21"/>
    </w:rPr>
  </w:style>
  <w:style w:type="paragraph" w:styleId="Heading4">
    <w:name w:val="heading 4"/>
    <w:basedOn w:val="Normal"/>
    <w:next w:val="Normal"/>
    <w:qFormat/>
    <w:pPr>
      <w:keepNext w:val="true"/>
      <w:numPr>
        <w:ilvl w:val="3"/>
        <w:numId w:val="1"/>
      </w:numPr>
      <w:ind w:hanging="0" w:start="270" w:end="0"/>
      <w:outlineLvl w:val="3"/>
    </w:pPr>
    <w:rPr>
      <w:i/>
      <w:iCs/>
    </w:rPr>
  </w:style>
  <w:style w:type="paragraph" w:styleId="Heading5">
    <w:name w:val="heading 5"/>
    <w:basedOn w:val="Normal"/>
    <w:next w:val="Normal"/>
    <w:qFormat/>
    <w:pPr>
      <w:keepNext w:val="true"/>
      <w:numPr>
        <w:ilvl w:val="4"/>
        <w:numId w:val="1"/>
      </w:numPr>
      <w:ind w:hanging="0" w:start="810" w:end="0"/>
      <w:outlineLvl w:val="4"/>
    </w:pPr>
    <w:rPr>
      <w:b/>
      <w:bCs/>
      <w:i/>
      <w:iCs/>
    </w:rPr>
  </w:style>
  <w:style w:type="paragraph" w:styleId="Heading6">
    <w:name w:val="heading 6"/>
    <w:basedOn w:val="Normal"/>
    <w:next w:val="Normal"/>
    <w:qFormat/>
    <w:pPr>
      <w:keepNext w:val="true"/>
      <w:numPr>
        <w:ilvl w:val="5"/>
        <w:numId w:val="1"/>
      </w:numPr>
      <w:ind w:hanging="0" w:start="810" w:end="0"/>
      <w:outlineLvl w:val="5"/>
    </w:pPr>
    <w:rPr>
      <w:b/>
      <w:bCs/>
    </w:rPr>
  </w:style>
  <w:style w:type="paragraph" w:styleId="Heading7">
    <w:name w:val="heading 7"/>
    <w:basedOn w:val="Normal"/>
    <w:next w:val="Normal"/>
    <w:qFormat/>
    <w:pPr>
      <w:keepNext w:val="true"/>
      <w:numPr>
        <w:ilvl w:val="6"/>
        <w:numId w:val="1"/>
      </w:numPr>
      <w:ind w:hanging="0" w:start="270" w:end="0"/>
      <w:outlineLvl w:val="6"/>
    </w:pPr>
    <w:rPr>
      <w:b/>
      <w:bCs/>
      <w:i/>
      <w:iCs/>
      <w:sz w:val="22"/>
      <w:szCs w:val="22"/>
    </w:rPr>
  </w:style>
  <w:style w:type="paragraph" w:styleId="Heading8">
    <w:name w:val="heading 8"/>
    <w:basedOn w:val="Normal"/>
    <w:next w:val="Normal"/>
    <w:qFormat/>
    <w:pPr>
      <w:keepNext w:val="true"/>
      <w:widowControl/>
      <w:numPr>
        <w:ilvl w:val="7"/>
        <w:numId w:val="1"/>
      </w:numPr>
      <w:outlineLvl w:val="7"/>
    </w:pPr>
    <w:rPr>
      <w:b/>
      <w:bCs/>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jc w:val="center"/>
    </w:pPr>
    <w:rPr>
      <w:b/>
      <w:bC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2001-04-13T18:32:00Z</dcterms:created>
  <dc:creator>Craig P Jeffers</dc:creator>
  <dc:description/>
  <dc:language>en-CA</dc:language>
  <cp:lastModifiedBy>Craig P. Jeffers</cp:lastModifiedBy>
  <cp:lastPrinted>2000-06-21T21:45:00Z</cp:lastPrinted>
  <dcterms:modified xsi:type="dcterms:W3CDTF">2001-05-10T16:14:00Z</dcterms:modified>
  <cp:revision>36</cp:revision>
  <dc:subject/>
  <dc:title>Craig P</dc:title>
</cp:coreProperties>
</file>