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r>
        <w:rPr/>
        <w:t>Memorandum</w:t>
      </w:r>
    </w:p>
    <w:p>
      <w:pPr>
        <w:pStyle w:val="MessageHeaderFirst"/>
        <w:rPr/>
      </w:pPr>
      <w:r>
        <w:rPr>
          <w:rStyle w:val="MessageHeaderLabel"/>
          <w:spacing w:val="-20"/>
        </w:rPr>
        <w:t>T</w:t>
      </w:r>
      <w:r>
        <w:rPr>
          <w:rStyle w:val="MessageHeaderLabel"/>
        </w:rPr>
        <w:t>o:</w:t>
      </w:r>
      <w:r>
        <w:rPr/>
        <w:tab/>
        <w:t>Bill Bradford</w:t>
      </w:r>
    </w:p>
    <w:p>
      <w:pPr>
        <w:pStyle w:val="MessageHeader"/>
        <w:rPr/>
      </w:pPr>
      <w:r>
        <w:rPr>
          <w:rStyle w:val="MessageHeaderLabel"/>
        </w:rPr>
        <w:t>From:</w:t>
      </w:r>
      <w:r>
        <w:rPr/>
        <w:tab/>
        <w:t>Elizabeth Sager</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tab/>
        <w:t>PGET/AVISTA/EPMI TRANSACTIONS</w:t>
      </w:r>
    </w:p>
    <w:p>
      <w:pPr>
        <w:pStyle w:val="Closing"/>
        <w:spacing w:lineRule="auto" w:line="240"/>
        <w:jc w:val="both"/>
        <w:rPr/>
      </w:pPr>
      <w:r>
        <w:rPr/>
        <w:t>Attached are clean and blacklined versions of the Settlement Agreement.  We have tried to incorporate the various changes we have received from the applicable parties, subject to the caveat that some of the comments may have been somewhat inconsistent with each other in certain places.  We have tried to "mesh" them as best as possible.  We therefore recognize that we will have to discuss this revised draft with all of the parties simultaneously to get agreement on the final language.</w:t>
      </w:r>
    </w:p>
    <w:p>
      <w:pPr>
        <w:pStyle w:val="Closing"/>
        <w:spacing w:lineRule="auto" w:line="240"/>
        <w:jc w:val="both"/>
        <w:rPr/>
      </w:pPr>
      <w:r>
        <w:rPr/>
      </w:r>
    </w:p>
    <w:p>
      <w:pPr>
        <w:pStyle w:val="Closing"/>
        <w:spacing w:lineRule="auto" w:line="240"/>
        <w:jc w:val="both"/>
        <w:rPr/>
      </w:pPr>
      <w:r>
        <w:rPr/>
        <w:t>In particular, you should note the following:</w:t>
      </w:r>
    </w:p>
    <w:p>
      <w:pPr>
        <w:pStyle w:val="Closing"/>
        <w:spacing w:lineRule="auto" w:line="240"/>
        <w:jc w:val="both"/>
        <w:rPr/>
      </w:pPr>
      <w:r>
        <w:rPr/>
      </w:r>
    </w:p>
    <w:p>
      <w:pPr>
        <w:pStyle w:val="Closing"/>
        <w:spacing w:lineRule="auto" w:line="240"/>
        <w:jc w:val="both"/>
        <w:rPr/>
      </w:pPr>
      <w:r>
        <w:rPr/>
        <w:t>--We did not make the return of the AVISTA Collateral a "condition precedent."  Since the signing and "closing" will occur simultaneously, a special condition precedent was not necessary. Similarly, the payment by EPMI to PGET required pursuant to Section 7 will happen simultaneously as well.</w:t>
      </w:r>
    </w:p>
    <w:p>
      <w:pPr>
        <w:pStyle w:val="Closing"/>
        <w:spacing w:lineRule="auto" w:line="240"/>
        <w:jc w:val="both"/>
        <w:rPr/>
      </w:pPr>
      <w:r>
        <w:rPr/>
      </w:r>
    </w:p>
    <w:p>
      <w:pPr>
        <w:pStyle w:val="Closing"/>
        <w:spacing w:lineRule="auto" w:line="240"/>
        <w:jc w:val="both"/>
        <w:rPr/>
      </w:pPr>
      <w:r>
        <w:rPr/>
        <w:t>--We added a release in favor of AVISTA (in Section 4(b)) with respect to the PGET Purchase Transactions, since that appeared to have been inadvertently overlooked in the prior version.</w:t>
      </w:r>
    </w:p>
    <w:p>
      <w:pPr>
        <w:pStyle w:val="Closing"/>
        <w:spacing w:lineRule="auto" w:line="240"/>
        <w:jc w:val="both"/>
        <w:rPr/>
      </w:pPr>
      <w:r>
        <w:rPr/>
      </w:r>
    </w:p>
    <w:p>
      <w:pPr>
        <w:pStyle w:val="Closing"/>
        <w:spacing w:lineRule="auto" w:line="240"/>
        <w:jc w:val="both"/>
        <w:rPr/>
      </w:pPr>
      <w:r>
        <w:rPr/>
        <w:t>--We did not include language suggested by PGET that AVISTA continues to be liable on the PGET Purchase Transactions for liabilities prior to the Effective Date (with the typical carve-out relating to power delivered and unpaid invoices) since that proposed language seemed to conflict with the release concept and, in addition, is addressed in Section 5(a) dealing with Reserved Rights (to the extent of claims asserted prior to the Effective Date).  The various comments were not consistent; while releases were provided for, some of the added language effectively negated the releases by saying that the parties reserved all of their rights, etc. for the pre-Effective Date period.</w:t>
      </w:r>
    </w:p>
    <w:p>
      <w:pPr>
        <w:pStyle w:val="Closing"/>
        <w:spacing w:lineRule="auto" w:line="240"/>
        <w:jc w:val="both"/>
        <w:rPr/>
      </w:pPr>
      <w:r>
        <w:rPr/>
      </w:r>
    </w:p>
    <w:p>
      <w:pPr>
        <w:pStyle w:val="Closing"/>
        <w:spacing w:lineRule="auto" w:line="240"/>
        <w:jc w:val="both"/>
        <w:rPr/>
      </w:pPr>
      <w:r>
        <w:rPr/>
        <w:t>--We added language to Section 5(c) addressing the "retention" of the 25 MWh/h portion of EPMI Transaction 1.</w:t>
      </w:r>
    </w:p>
    <w:p>
      <w:pPr>
        <w:pStyle w:val="Closing"/>
        <w:spacing w:lineRule="auto" w:line="240"/>
        <w:jc w:val="both"/>
        <w:rPr/>
      </w:pPr>
      <w:r>
        <w:rPr/>
      </w:r>
    </w:p>
    <w:p>
      <w:pPr>
        <w:pStyle w:val="Closing"/>
        <w:spacing w:lineRule="auto" w:line="240"/>
        <w:jc w:val="both"/>
        <w:rPr/>
      </w:pPr>
      <w:r>
        <w:rPr/>
        <w:t>--We added a Section 10 to address the problems reflected by the errors in the PGET Purchase Transaction confirms.</w:t>
      </w:r>
    </w:p>
    <w:p>
      <w:pPr>
        <w:pStyle w:val="Closing"/>
        <w:spacing w:lineRule="auto" w:line="240"/>
        <w:jc w:val="both"/>
        <w:rPr/>
      </w:pPr>
      <w:r>
        <w:rPr/>
      </w:r>
    </w:p>
    <w:p>
      <w:pPr>
        <w:pStyle w:val="Closing"/>
        <w:spacing w:lineRule="auto" w:line="240"/>
        <w:jc w:val="both"/>
        <w:rPr/>
      </w:pPr>
      <w:r>
        <w:rPr/>
        <w:t>Please call me if you have any questions on the foregoing.</w:t>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2000-12-27T21:41:00Z</dcterms:created>
  <dc:creator>LeBoeuf, Lamb, Greene &amp; MacRae, L.L.P.</dc:creator>
  <dc:description/>
  <cp:keywords>NYC 363217.1 24571 00308 12/27/00 7:11:11 PM</cp:keywords>
  <dc:language>en-CA</dc:language>
  <cp:lastModifiedBy>Michael Didriksen</cp:lastModifiedBy>
  <cp:lastPrinted>2000-12-27T19:11:00Z</cp:lastPrinted>
  <dcterms:modified xsi:type="dcterms:W3CDTF">2000-12-27T21:41:00Z</dcterms:modified>
  <cp:revision>4</cp:revision>
  <dc:subject/>
  <dc:title>Memo</dc:title>
</cp:coreProperties>
</file>