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rPr/>
      </w:pPr>
      <w:r>
        <w:rPr/>
      </w:r>
    </w:p>
    <w:p>
      <w:pPr>
        <w:pStyle w:val="Header"/>
        <w:tabs>
          <w:tab w:val="clear" w:pos="4320"/>
          <w:tab w:val="clear" w:pos="8640"/>
          <w:tab w:val="left" w:pos="5760" w:leader="none"/>
        </w:tabs>
        <w:jc w:val="center"/>
        <w:rPr/>
      </w:pPr>
      <w:r>
        <w:rPr/>
      </w:r>
      <w:bookmarkStart w:id="0" w:name="Date"/>
      <w:bookmarkStart w:id="1" w:name="Date"/>
      <w:bookmarkEnd w:id="1"/>
    </w:p>
    <w:p>
      <w:pPr>
        <w:pStyle w:val="Header"/>
        <w:tabs>
          <w:tab w:val="clear" w:pos="4320"/>
          <w:tab w:val="clear" w:pos="8640"/>
          <w:tab w:val="left" w:pos="5760" w:leader="none"/>
        </w:tabs>
        <w:jc w:val="center"/>
        <w:rPr/>
      </w:pPr>
      <w:r>
        <w:rPr/>
      </w:r>
    </w:p>
    <w:p>
      <w:pPr>
        <w:pStyle w:val="Header"/>
        <w:tabs>
          <w:tab w:val="clear" w:pos="4320"/>
          <w:tab w:val="clear" w:pos="8640"/>
          <w:tab w:val="left" w:pos="5760" w:leader="none"/>
        </w:tabs>
        <w:jc w:val="center"/>
        <w:rPr/>
      </w:pPr>
      <w:r>
        <w:rPr/>
      </w:r>
    </w:p>
    <w:p>
      <w:pPr>
        <w:pStyle w:val="Header"/>
        <w:tabs>
          <w:tab w:val="clear" w:pos="4320"/>
          <w:tab w:val="clear" w:pos="8640"/>
          <w:tab w:val="left" w:pos="5760" w:leader="none"/>
        </w:tabs>
        <w:jc w:val="center"/>
        <w:rPr/>
      </w:pPr>
      <w:r>
        <w:rPr/>
        <w:t>May 30, 2000</w:t>
      </w:r>
    </w:p>
    <w:p>
      <w:pPr>
        <w:pStyle w:val="Normal"/>
        <w:spacing w:before="840" w:after="840"/>
        <w:jc w:val="center"/>
        <w:rPr>
          <w:u w:val="single"/>
        </w:rPr>
      </w:pPr>
      <w:r>
        <w:rPr>
          <w:u w:val="single"/>
        </w:rPr>
        <w:t>M E M O R A N D U M</w:t>
      </w:r>
    </w:p>
    <w:p>
      <w:pPr>
        <w:pStyle w:val="Normal"/>
        <w:tabs>
          <w:tab w:val="clear" w:pos="720"/>
          <w:tab w:val="left" w:pos="1080" w:leader="none"/>
        </w:tabs>
        <w:spacing w:before="0" w:after="120"/>
        <w:rPr/>
      </w:pPr>
      <w:r>
        <w:rPr/>
        <w:t>To</w:t>
      </w:r>
      <w:r>
        <w:rPr>
          <w:caps/>
        </w:rPr>
        <w:t>:</w:t>
        <w:tab/>
      </w:r>
      <w:r>
        <w:rPr/>
        <w:t>ENRON DISTRIBUTION LIST</w:t>
      </w:r>
    </w:p>
    <w:p>
      <w:pPr>
        <w:pStyle w:val="Normal"/>
        <w:tabs>
          <w:tab w:val="clear" w:pos="720"/>
          <w:tab w:val="left" w:pos="1080" w:leader="none"/>
        </w:tabs>
        <w:rPr/>
      </w:pPr>
      <w:r>
        <w:rPr/>
        <w:t>From</w:t>
      </w:r>
      <w:r>
        <w:rPr>
          <w:caps/>
        </w:rPr>
        <w:t>:</w:t>
        <w:tab/>
      </w:r>
      <w:r>
        <w:rPr/>
        <w:t>HAZEL MUKUNA</w:t>
      </w:r>
    </w:p>
    <w:p>
      <w:pPr>
        <w:pStyle w:val="Normal"/>
        <w:rPr/>
      </w:pPr>
      <w:r>
        <w:rPr/>
      </w:r>
    </w:p>
    <w:p>
      <w:pPr>
        <w:pStyle w:val="Normal"/>
        <w:jc w:val="center"/>
        <w:rPr/>
      </w:pPr>
      <w:r>
        <w:rPr/>
        <w:t>Enron Pass-Through Asset Trust Securities (“PATS</w:t>
      </w:r>
      <w:r>
        <w:rPr>
          <w:sz w:val="16"/>
          <w:vertAlign w:val="superscript"/>
        </w:rPr>
        <w:t>SM</w:t>
      </w:r>
      <w:r>
        <w:rPr/>
        <w:t>”)</w:t>
      </w:r>
    </w:p>
    <w:p>
      <w:pPr>
        <w:pStyle w:val="Normal"/>
        <w:spacing w:before="0" w:after="120"/>
        <w:jc w:val="center"/>
        <w:rPr>
          <w:u w:val="single"/>
        </w:rPr>
      </w:pPr>
      <w:r>
        <w:rPr>
          <w:u w:val="single"/>
        </w:rPr>
        <w:t>Revised Drafts of Preliminary Offering Circular</w:t>
      </w:r>
      <w:bookmarkStart w:id="2" w:name="startoftext"/>
      <w:bookmarkEnd w:id="2"/>
      <w:r>
        <w:rPr>
          <w:u w:val="single"/>
        </w:rPr>
        <w:t xml:space="preserve"> and Operative Documents</w:t>
      </w:r>
    </w:p>
    <w:p>
      <w:pPr>
        <w:pStyle w:val="memotext"/>
        <w:spacing w:lineRule="auto" w:line="240" w:before="120" w:after="120"/>
        <w:jc w:val="both"/>
        <w:rPr/>
      </w:pPr>
      <w:r>
        <w:rPr/>
        <w:t>We have attached a revised draft of the Preliminary Offering Circular relating to the offering of the PATS, as well as revised drafts of the Trust Agreement, the Remarketing Agreement and the Purchase Agreement, each of which is marked to show changes from the initial drafts thereof. As the UBS Warburg team has not reviewed any of these drafts, they remain subject to additional comments. We will be forwarding revised drafts of the ISDA documentation governing the swaps and options shortly.</w:t>
      </w:r>
    </w:p>
    <w:p>
      <w:pPr>
        <w:pStyle w:val="Normal"/>
        <w:tabs>
          <w:tab w:val="clear" w:pos="720"/>
          <w:tab w:val="left" w:pos="1440" w:leader="none"/>
        </w:tabs>
        <w:spacing w:before="0" w:after="120"/>
        <w:ind w:firstLine="720" w:end="0"/>
        <w:jc w:val="both"/>
        <w:rPr/>
      </w:pPr>
      <w:r>
        <w:rPr/>
        <w:t xml:space="preserve">To facilitate your review of these drafts, we have set out below certain specific comments on the attached documentation. </w:t>
      </w:r>
    </w:p>
    <w:p>
      <w:pPr>
        <w:pStyle w:val="Normal"/>
        <w:numPr>
          <w:ilvl w:val="0"/>
          <w:numId w:val="2"/>
        </w:numPr>
        <w:tabs>
          <w:tab w:val="clear" w:pos="720"/>
          <w:tab w:val="left" w:pos="1440" w:leader="none"/>
        </w:tabs>
        <w:spacing w:before="0" w:after="120"/>
        <w:jc w:val="both"/>
        <w:rPr/>
      </w:pPr>
      <w:r>
        <w:rPr/>
        <w:t>Some of the comments we received on the Preliminary Offering Circular related to the insertion of disclosure to the effect that certain rights of certificateholders are subject to the absence of swap termination events. We note, though, that this disclosure could be included to modify almost every reference to obligations under the swaps. Similar comments were made regarding the effect of a conversion event on the trust call option. While we agree that the exercise of the trust call option is subject to the absence of a conversion event, we note that certificateholders are largely indifferent as to the exercise of the trust call option given that they will be entitled to a final distribution regardless and, in any event, the trust call option may be terminated for reasons other than a conversion event. Accordingly, we have not included the suggested disclosure regarding these matters.</w:t>
      </w:r>
    </w:p>
    <w:p>
      <w:pPr>
        <w:pStyle w:val="Normal"/>
        <w:numPr>
          <w:ilvl w:val="0"/>
          <w:numId w:val="3"/>
        </w:numPr>
        <w:tabs>
          <w:tab w:val="clear" w:pos="720"/>
          <w:tab w:val="left" w:pos="1440" w:leader="none"/>
        </w:tabs>
        <w:spacing w:before="0" w:after="120"/>
        <w:jc w:val="both"/>
        <w:rPr/>
      </w:pPr>
      <w:r>
        <w:rPr/>
        <w:t>Although UBSW does not expect to make any sales offshore, as we discussed during our meeting in Houston, in order to provide maximum flexibility we have included disclosure in the Preliminary Offering Circular, as well as appropriate provisions in the Trust Agreement and the Purchase Agreement, regarding Regulation S.</w:t>
      </w:r>
    </w:p>
    <w:p>
      <w:pPr>
        <w:pStyle w:val="Normal"/>
        <w:numPr>
          <w:ilvl w:val="0"/>
          <w:numId w:val="3"/>
        </w:numPr>
        <w:tabs>
          <w:tab w:val="clear" w:pos="720"/>
          <w:tab w:val="left" w:pos="1440" w:leader="none"/>
        </w:tabs>
        <w:spacing w:before="0" w:after="120"/>
        <w:jc w:val="both"/>
        <w:rPr/>
      </w:pPr>
      <w:r>
        <w:rPr/>
        <w:t xml:space="preserve">We have not yet received any alternative to the “black-out” provision in Section 6(d) of the Purchase Agreement; in any event, we note that the period of time covered thereby could expire as early as the date of closing. </w:t>
      </w:r>
    </w:p>
    <w:p>
      <w:pPr>
        <w:pStyle w:val="Normal"/>
        <w:numPr>
          <w:ilvl w:val="0"/>
          <w:numId w:val="3"/>
        </w:numPr>
        <w:tabs>
          <w:tab w:val="clear" w:pos="720"/>
          <w:tab w:val="left" w:pos="1440" w:leader="none"/>
        </w:tabs>
        <w:spacing w:before="0" w:after="120"/>
        <w:jc w:val="both"/>
        <w:rPr/>
      </w:pPr>
      <w:r>
        <w:rPr/>
        <w:t>Because Enron’s Underwriting Agreement Standard Provisions (which is filed as an exhibit to its most recently filed registration statement) includes a provision regarding the reimbursement of fees and expenses of counsel—which Todd referred to on Friday’s conference call as a “stick”—we have not made the related changes to Section 8(c) of the Purchase Agreement.</w:t>
      </w:r>
    </w:p>
    <w:p>
      <w:pPr>
        <w:pStyle w:val="Normal"/>
        <w:numPr>
          <w:ilvl w:val="0"/>
          <w:numId w:val="3"/>
        </w:numPr>
        <w:tabs>
          <w:tab w:val="clear" w:pos="720"/>
          <w:tab w:val="left" w:pos="1440" w:leader="none"/>
        </w:tabs>
        <w:spacing w:before="0" w:after="120"/>
        <w:jc w:val="both"/>
        <w:rPr/>
      </w:pPr>
      <w:r>
        <w:rPr/>
        <w:t xml:space="preserve">For purposes of preparing the forms of legal opinions to be attached to the Purchase Agreement, we would appreciate receiving copies of opinions delivered in other contexts, such as those used in Enron’s 1997 offering of trust preferred securities. </w:t>
      </w:r>
    </w:p>
    <w:p>
      <w:pPr>
        <w:pStyle w:val="Normal"/>
        <w:numPr>
          <w:ilvl w:val="0"/>
          <w:numId w:val="3"/>
        </w:numPr>
        <w:tabs>
          <w:tab w:val="clear" w:pos="720"/>
          <w:tab w:val="left" w:pos="1440" w:leader="none"/>
        </w:tabs>
        <w:spacing w:before="0" w:after="120"/>
        <w:jc w:val="both"/>
        <w:rPr/>
      </w:pPr>
      <w:r>
        <w:rPr/>
        <w:t xml:space="preserve">While we have noted Ron’s general comment that Enron’s standard terms on such issues as limitation of liability, confidentiality and set-off should be inserted in the ISDA confirmations, we would appreciate if these terms could be provided to us. Ron also indicated that Enron does not agree to the ISDA standard jurisdiction language and would prefer arbitration, which we have not included in these drafts pending further discussion with UBSW. (In this regard, it would be helpful to review Enron’s preferred arbitration provision.) Also, we will furnish by fax a copy of ISDA’s standard EMU Continuity Provisions. </w:t>
      </w:r>
    </w:p>
    <w:p>
      <w:pPr>
        <w:pStyle w:val="Normal"/>
        <w:numPr>
          <w:ilvl w:val="0"/>
          <w:numId w:val="3"/>
        </w:numPr>
        <w:tabs>
          <w:tab w:val="clear" w:pos="720"/>
          <w:tab w:val="left" w:pos="1440" w:leader="none"/>
        </w:tabs>
        <w:spacing w:before="0" w:after="120"/>
        <w:jc w:val="both"/>
        <w:rPr/>
      </w:pPr>
      <w:r>
        <w:rPr/>
        <w:t xml:space="preserve">Prior to distributing the revised drafts of the swaps and options, it would be helpful to discuss further the events that will permit the callholder to receive the value of the trust call option. </w:t>
      </w:r>
    </w:p>
    <w:p>
      <w:pPr>
        <w:pStyle w:val="memotext"/>
        <w:spacing w:lineRule="auto" w:line="240" w:before="120" w:after="0"/>
        <w:jc w:val="both"/>
        <w:rPr/>
      </w:pPr>
      <w:r>
        <w:rPr/>
        <w:t>If you have any questions, please call me or Todd.</w:t>
      </w:r>
    </w:p>
    <w:p>
      <w:pPr>
        <w:pStyle w:val="memotext"/>
        <w:spacing w:lineRule="auto" w:line="240" w:before="120" w:after="0"/>
        <w:ind w:hanging="0" w:end="0"/>
        <w:jc w:val="center"/>
        <w:rPr/>
      </w:pPr>
      <w:r>
        <w:rPr/>
        <w:t>H.M.</w:t>
      </w:r>
    </w:p>
    <w:p>
      <w:pPr>
        <w:pStyle w:val="memotext"/>
        <w:spacing w:lineRule="auto" w:line="240" w:before="120" w:after="0"/>
        <w:ind w:hanging="0" w:end="0"/>
        <w:jc w:val="center"/>
        <w:rPr/>
      </w:pPr>
      <w:r>
        <w:rPr/>
      </w:r>
    </w:p>
    <w:p>
      <w:pPr>
        <w:pStyle w:val="memotext"/>
        <w:spacing w:lineRule="auto" w:line="240" w:before="120" w:after="0"/>
        <w:ind w:hanging="0" w:end="0"/>
        <w:rPr/>
      </w:pPr>
      <w:r>
        <w:rPr/>
      </w:r>
    </w:p>
    <w:p>
      <w:pPr>
        <w:pStyle w:val="memotext"/>
        <w:spacing w:lineRule="auto" w:line="240" w:before="120" w:after="0"/>
        <w:ind w:hanging="0" w:end="0"/>
        <w:rPr/>
      </w:pPr>
      <w:r>
        <w:rPr/>
      </w:r>
    </w:p>
    <w:p>
      <w:pPr>
        <w:pStyle w:val="memotext"/>
        <w:spacing w:lineRule="auto" w:line="240" w:before="120" w:after="0"/>
        <w:ind w:hanging="0" w:end="0"/>
        <w:rPr/>
      </w:pPr>
      <w:r>
        <w:rPr/>
        <w:t>cc:  Todd W. Eckland, Esq.</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DocID"/>
      <w:rPr/>
    </w:pPr>
    <w:r>
      <w:rPr/>
      <w:fldChar w:fldCharType="begin"/>
    </w:r>
    <w:r>
      <w:rPr/>
      <w:instrText xml:space="preserve"> KEYWORDS </w:instrText>
    </w:r>
    <w:r>
      <w:rPr/>
      <w:fldChar w:fldCharType="separate"/>
    </w:r>
    <w:r>
      <w:rPr/>
      <w:t>63238099.01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KEYWORDS </w:instrText>
    </w:r>
    <w:r>
      <w:rPr/>
      <w:fldChar w:fldCharType="separate"/>
    </w:r>
    <w:r>
      <w:rPr/>
      <w:t>63238099.01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mallCaps/>
        <w:sz w:val="28"/>
      </w:rPr>
    </w:pPr>
    <w:r>
      <w:rPr>
        <w:b/>
        <w:smallCaps/>
        <w:sz w:val="28"/>
      </w:rPr>
      <w:t>Winthrop, Stimson, Putnam &amp; Roberts</w:t>
    </w:r>
  </w:p>
  <w:p>
    <w:pPr>
      <w:pStyle w:val="Header"/>
      <w:jc w:val="end"/>
      <w:rPr>
        <w:b/>
        <w:smallCaps/>
        <w:sz w:val="28"/>
      </w:rPr>
    </w:pPr>
    <w:r>
      <w:rPr>
        <w:b/>
        <w:smallCaps/>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360" w:after="0"/>
      <w:jc w:val="center"/>
      <w:outlineLvl w:val="0"/>
    </w:pPr>
    <w:rPr>
      <w:caps/>
      <w:color w:val="0000FF"/>
      <w:kern w:val="2"/>
    </w:rPr>
  </w:style>
  <w:style w:type="paragraph" w:styleId="Heading2">
    <w:name w:val="heading 2"/>
    <w:basedOn w:val="Normal"/>
    <w:next w:val="Normal"/>
    <w:qFormat/>
    <w:pPr>
      <w:numPr>
        <w:ilvl w:val="1"/>
        <w:numId w:val="1"/>
      </w:numPr>
      <w:tabs>
        <w:tab w:val="clear" w:pos="720"/>
        <w:tab w:val="left" w:pos="2318" w:leader="none"/>
      </w:tabs>
      <w:spacing w:before="240" w:after="0"/>
      <w:ind w:firstLine="720" w:start="0" w:end="0"/>
      <w:outlineLvl w:val="1"/>
    </w:pPr>
    <w:rPr>
      <w:color w:val="0000FF"/>
    </w:rPr>
  </w:style>
  <w:style w:type="paragraph" w:styleId="Heading3">
    <w:name w:val="heading 3"/>
    <w:basedOn w:val="Normal"/>
    <w:next w:val="Normal"/>
    <w:qFormat/>
    <w:pPr>
      <w:numPr>
        <w:ilvl w:val="2"/>
        <w:numId w:val="1"/>
      </w:numPr>
      <w:tabs>
        <w:tab w:val="clear" w:pos="720"/>
        <w:tab w:val="left" w:pos="1901" w:leader="none"/>
      </w:tabs>
      <w:spacing w:before="240" w:after="0"/>
      <w:ind w:firstLine="1440" w:start="0" w:end="0"/>
      <w:outlineLvl w:val="2"/>
    </w:pPr>
    <w:rPr>
      <w:color w:val="0000FF"/>
    </w:rPr>
  </w:style>
  <w:style w:type="paragraph" w:styleId="Heading4">
    <w:name w:val="heading 4"/>
    <w:basedOn w:val="Normal"/>
    <w:next w:val="Normal"/>
    <w:qFormat/>
    <w:pPr>
      <w:numPr>
        <w:ilvl w:val="3"/>
        <w:numId w:val="1"/>
      </w:numPr>
      <w:tabs>
        <w:tab w:val="clear" w:pos="720"/>
        <w:tab w:val="right" w:pos="2160" w:leader="none"/>
        <w:tab w:val="left" w:pos="2376" w:leader="none"/>
      </w:tabs>
      <w:spacing w:before="240" w:after="0"/>
      <w:ind w:firstLine="720" w:start="720" w:end="0"/>
      <w:outlineLvl w:val="3"/>
    </w:pPr>
    <w:rPr>
      <w:color w:val="000000"/>
    </w:rPr>
  </w:style>
  <w:style w:type="paragraph" w:styleId="Heading5">
    <w:name w:val="heading 5"/>
    <w:basedOn w:val="Normal"/>
    <w:next w:val="Normal"/>
    <w:qFormat/>
    <w:pPr>
      <w:numPr>
        <w:ilvl w:val="4"/>
        <w:numId w:val="1"/>
      </w:numPr>
      <w:tabs>
        <w:tab w:val="clear" w:pos="720"/>
        <w:tab w:val="left" w:pos="3384" w:leader="none"/>
      </w:tabs>
      <w:spacing w:before="240" w:after="0"/>
      <w:ind w:firstLine="1440" w:start="1440" w:end="0"/>
      <w:outlineLvl w:val="4"/>
    </w:pPr>
    <w:rPr>
      <w:color w:val="000000"/>
    </w:rPr>
  </w:style>
  <w:style w:type="paragraph" w:styleId="Heading6">
    <w:name w:val="heading 6"/>
    <w:basedOn w:val="Normal"/>
    <w:next w:val="Normal"/>
    <w:qFormat/>
    <w:pPr>
      <w:numPr>
        <w:ilvl w:val="5"/>
        <w:numId w:val="1"/>
      </w:numPr>
      <w:tabs>
        <w:tab w:val="clear" w:pos="720"/>
        <w:tab w:val="right" w:pos="3600" w:leader="none"/>
        <w:tab w:val="left" w:pos="3816" w:leader="none"/>
      </w:tabs>
      <w:spacing w:before="240" w:after="0"/>
      <w:ind w:firstLine="720" w:start="2160" w:end="0"/>
      <w:outlineLvl w:val="5"/>
    </w:pPr>
    <w:rPr>
      <w:color w:val="000000"/>
    </w:rPr>
  </w:style>
  <w:style w:type="paragraph" w:styleId="Heading7">
    <w:name w:val="heading 7"/>
    <w:basedOn w:val="Normal"/>
    <w:next w:val="Normal"/>
    <w:qFormat/>
    <w:pPr>
      <w:numPr>
        <w:ilvl w:val="6"/>
        <w:numId w:val="1"/>
      </w:numPr>
      <w:tabs>
        <w:tab w:val="clear" w:pos="720"/>
        <w:tab w:val="left" w:pos="4723" w:leader="none"/>
      </w:tabs>
      <w:spacing w:before="240" w:after="0"/>
      <w:ind w:firstLine="1440" w:start="2880" w:end="0"/>
      <w:outlineLvl w:val="6"/>
    </w:pPr>
    <w:rPr>
      <w:color w:val="000000"/>
    </w:rPr>
  </w:style>
  <w:style w:type="paragraph" w:styleId="Heading8">
    <w:name w:val="heading 8"/>
    <w:basedOn w:val="Normal"/>
    <w:next w:val="Normal"/>
    <w:qFormat/>
    <w:pPr>
      <w:numPr>
        <w:ilvl w:val="7"/>
        <w:numId w:val="1"/>
      </w:numPr>
      <w:tabs>
        <w:tab w:val="clear" w:pos="720"/>
        <w:tab w:val="right" w:pos="4493" w:leader="none"/>
      </w:tabs>
      <w:spacing w:before="240" w:after="0"/>
      <w:ind w:hanging="792" w:start="4752" w:end="0"/>
      <w:outlineLvl w:val="7"/>
    </w:pPr>
    <w:rPr>
      <w:color w:val="000000"/>
    </w:rPr>
  </w:style>
  <w:style w:type="paragraph" w:styleId="Heading9">
    <w:name w:val="heading 9"/>
    <w:basedOn w:val="Normal"/>
    <w:next w:val="Normal"/>
    <w:qFormat/>
    <w:pPr>
      <w:numPr>
        <w:ilvl w:val="8"/>
        <w:numId w:val="1"/>
      </w:numPr>
      <w:spacing w:before="240" w:after="0"/>
      <w:ind w:hanging="374" w:start="5126" w:end="0"/>
      <w:outlineLvl w:val="8"/>
    </w:pPr>
    <w:rPr>
      <w:color w:val="00000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4"/>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next w:val="Normal"/>
    <w:qFormat/>
    <w:pPr>
      <w:widowControl/>
      <w:bidi w:val="0"/>
    </w:pPr>
    <w:rPr>
      <w:rFonts w:ascii="Times New Roman" w:hAnsi="Times New Roman" w:eastAsia="Times New Roman" w:cs="Times New Roman"/>
      <w:color w:val="auto"/>
      <w:sz w:val="16"/>
      <w:szCs w:val="20"/>
      <w:lang w:val="en-CA" w:eastAsia="zh-CN" w:bidi="hi-IN"/>
    </w:rPr>
  </w:style>
  <w:style w:type="paragraph" w:styleId="memotext">
    <w:name w:val="memo text"/>
    <w:basedOn w:val="Normal"/>
    <w:qFormat/>
    <w:pPr>
      <w:spacing w:lineRule="auto" w:line="360"/>
      <w:ind w:firstLine="720" w:start="0" w:end="0"/>
    </w:pPr>
    <w:rPr/>
  </w:style>
  <w:style w:type="paragraph" w:styleId="Body2">
    <w:name w:val="Body2"/>
    <w:basedOn w:val="Heading2"/>
    <w:qFormat/>
    <w:pPr>
      <w:numPr>
        <w:ilvl w:val="0"/>
        <w:numId w:val="0"/>
      </w:numPr>
      <w:ind w:firstLine="720" w:start="0"/>
      <w:outlineLvl w:val="9"/>
    </w:pPr>
    <w:rPr>
      <w:color w:val="auto"/>
    </w:rPr>
  </w:style>
  <w:style w:type="paragraph" w:styleId="Body3">
    <w:name w:val="Body3"/>
    <w:basedOn w:val="Heading3"/>
    <w:qFormat/>
    <w:pPr>
      <w:numPr>
        <w:ilvl w:val="0"/>
        <w:numId w:val="0"/>
      </w:numPr>
      <w:ind w:firstLine="1440" w:start="0"/>
      <w:outlineLvl w:val="9"/>
    </w:pPr>
    <w:rPr>
      <w:color w:val="auto"/>
    </w:rPr>
  </w:style>
  <w:style w:type="paragraph" w:styleId="Body4">
    <w:name w:val="Body4"/>
    <w:basedOn w:val="Heading4"/>
    <w:qFormat/>
    <w:pPr>
      <w:numPr>
        <w:ilvl w:val="0"/>
        <w:numId w:val="0"/>
      </w:numPr>
      <w:tabs>
        <w:tab w:val="clear" w:pos="2160"/>
        <w:tab w:val="left" w:pos="2376" w:leader="none"/>
      </w:tabs>
      <w:ind w:firstLine="1296" w:start="720" w:end="0"/>
      <w:outlineLvl w:val="9"/>
    </w:pPr>
    <w:rPr>
      <w:color w:val="auto"/>
    </w:rPr>
  </w:style>
  <w:style w:type="paragraph" w:styleId="Body4w">
    <w:name w:val="Body4w/#"/>
    <w:basedOn w:val="Heading4"/>
    <w:qFormat/>
    <w:pPr>
      <w:numPr>
        <w:ilvl w:val="0"/>
        <w:numId w:val="0"/>
      </w:numPr>
      <w:ind w:firstLine="720" w:start="720"/>
      <w:outlineLvl w:val="9"/>
    </w:pPr>
    <w:rPr/>
  </w:style>
  <w:style w:type="paragraph" w:styleId="Body5">
    <w:name w:val="Body5"/>
    <w:basedOn w:val="Heading5"/>
    <w:qFormat/>
    <w:pPr>
      <w:numPr>
        <w:ilvl w:val="0"/>
        <w:numId w:val="0"/>
      </w:numPr>
      <w:ind w:firstLine="1440" w:start="1440"/>
      <w:outlineLvl w:val="9"/>
    </w:pPr>
    <w:rPr>
      <w:color w:val="auto"/>
    </w:rPr>
  </w:style>
  <w:style w:type="paragraph" w:styleId="Body6">
    <w:name w:val="Body6"/>
    <w:basedOn w:val="Heading6"/>
    <w:qFormat/>
    <w:pPr>
      <w:numPr>
        <w:ilvl w:val="0"/>
        <w:numId w:val="0"/>
      </w:numPr>
      <w:tabs>
        <w:tab w:val="clear" w:pos="3600"/>
        <w:tab w:val="left" w:pos="3816" w:leader="none"/>
      </w:tabs>
      <w:ind w:firstLine="1296" w:start="2160" w:end="0"/>
      <w:outlineLvl w:val="9"/>
    </w:pPr>
    <w:rPr>
      <w:color w:val="auto"/>
    </w:rPr>
  </w:style>
  <w:style w:type="paragraph" w:styleId="Body7">
    <w:name w:val="Body7"/>
    <w:basedOn w:val="Heading7"/>
    <w:qFormat/>
    <w:pPr>
      <w:numPr>
        <w:ilvl w:val="0"/>
        <w:numId w:val="0"/>
      </w:numPr>
      <w:ind w:firstLine="1440" w:start="2880"/>
      <w:outlineLvl w:val="9"/>
    </w:pPr>
    <w:rPr>
      <w:color w:val="auto"/>
    </w:rPr>
  </w:style>
  <w:style w:type="paragraph" w:styleId="Body8">
    <w:name w:val="Body8"/>
    <w:basedOn w:val="Heading8"/>
    <w:qFormat/>
    <w:pPr>
      <w:numPr>
        <w:ilvl w:val="0"/>
        <w:numId w:val="0"/>
      </w:numPr>
      <w:tabs>
        <w:tab w:val="clear" w:pos="4493"/>
      </w:tabs>
      <w:ind w:hanging="0" w:start="4752" w:end="0"/>
      <w:outlineLvl w:val="9"/>
    </w:pPr>
    <w:rPr>
      <w:color w:val="auto"/>
    </w:rPr>
  </w:style>
  <w:style w:type="paragraph" w:styleId="Body9">
    <w:name w:val="Body9"/>
    <w:basedOn w:val="Heading9"/>
    <w:qFormat/>
    <w:pPr>
      <w:numPr>
        <w:ilvl w:val="0"/>
        <w:numId w:val="0"/>
      </w:numPr>
      <w:ind w:hanging="0" w:start="5126" w:end="0"/>
      <w:outlineLvl w:val="9"/>
    </w:pPr>
    <w:rPr>
      <w:color w:val="auto"/>
    </w:rPr>
  </w:style>
  <w:style w:type="paragraph" w:styleId="FootnoteText">
    <w:name w:val="footnote text"/>
    <w:basedOn w:val="Normal"/>
    <w:pPr>
      <w:spacing w:before="60" w:after="0"/>
      <w:ind w:hanging="180" w:start="180" w:end="0"/>
    </w:pPr>
    <w:rPr>
      <w:sz w:val="20"/>
    </w:rPr>
  </w:style>
  <w:style w:type="paragraph" w:styleId="SchedHead">
    <w:name w:val="SchedHead"/>
    <w:basedOn w:val="Normal"/>
    <w:qFormat/>
    <w:pPr>
      <w:spacing w:before="0" w:after="360"/>
      <w:jc w:val="end"/>
    </w:pPr>
    <w:rPr>
      <w:color w:val="0000FF"/>
    </w:rPr>
  </w:style>
  <w:style w:type="paragraph" w:styleId="SchedTitle">
    <w:name w:val="SchedTitle"/>
    <w:basedOn w:val="Normal"/>
    <w:qFormat/>
    <w:pPr>
      <w:spacing w:before="0" w:after="360"/>
      <w:jc w:val="center"/>
    </w:pPr>
    <w:rPr>
      <w:caps/>
      <w:color w:val="0000FF"/>
    </w:rPr>
  </w:style>
  <w:style w:type="paragraph" w:styleId="TOC1">
    <w:name w:val="toc 1"/>
    <w:basedOn w:val="Normal"/>
    <w:next w:val="Normal"/>
    <w:pPr>
      <w:keepLines/>
      <w:tabs>
        <w:tab w:val="clear" w:pos="720"/>
        <w:tab w:val="right" w:pos="9360" w:leader="dot"/>
      </w:tabs>
      <w:spacing w:before="360" w:after="240"/>
      <w:jc w:val="center"/>
    </w:pPr>
    <w:rPr>
      <w:caps/>
    </w:rPr>
  </w:style>
  <w:style w:type="paragraph" w:styleId="TOC2">
    <w:name w:val="toc 2"/>
    <w:basedOn w:val="Normal"/>
    <w:next w:val="Normal"/>
    <w:pPr>
      <w:keepLines/>
      <w:tabs>
        <w:tab w:val="clear" w:pos="720"/>
        <w:tab w:val="right" w:pos="9346" w:leader="dot"/>
      </w:tabs>
      <w:spacing w:before="60" w:after="0"/>
      <w:ind w:hanging="1440" w:start="1440" w:end="720"/>
    </w:pPr>
    <w:rPr/>
  </w:style>
  <w:style w:type="paragraph" w:styleId="TOC3">
    <w:name w:val="toc 3"/>
    <w:basedOn w:val="Normal"/>
    <w:next w:val="Normal"/>
    <w:pPr>
      <w:keepLines/>
      <w:tabs>
        <w:tab w:val="clear" w:pos="720"/>
        <w:tab w:val="right" w:pos="9346" w:leader="dot"/>
      </w:tabs>
      <w:ind w:hanging="504" w:start="1944" w:end="720"/>
    </w:pPr>
    <w:rPr>
      <w:lang w:val="en-CA"/>
    </w:rPr>
  </w:style>
  <w:style w:type="paragraph" w:styleId="TOC4">
    <w:name w:val="toc 4"/>
    <w:basedOn w:val="Normal"/>
    <w:next w:val="Normal"/>
    <w:pPr>
      <w:keepLines/>
      <w:tabs>
        <w:tab w:val="clear" w:pos="720"/>
        <w:tab w:val="right" w:pos="2160" w:leader="none"/>
        <w:tab w:val="right" w:pos="9346" w:leader="dot"/>
      </w:tabs>
      <w:ind w:hanging="979" w:start="2419" w:end="720"/>
    </w:pPr>
    <w:rPr>
      <w:lang w:val="en-CA"/>
    </w:rPr>
  </w:style>
  <w:style w:type="paragraph" w:styleId="TOC5">
    <w:name w:val="toc 5"/>
    <w:basedOn w:val="Normal"/>
    <w:next w:val="Normal"/>
    <w:pPr>
      <w:keepLines/>
      <w:tabs>
        <w:tab w:val="clear" w:pos="720"/>
        <w:tab w:val="right" w:pos="9346" w:leader="dot"/>
      </w:tabs>
      <w:ind w:hanging="547" w:start="2880" w:end="720"/>
    </w:pPr>
    <w:rPr>
      <w:lang w:val="en-CA"/>
    </w:rPr>
  </w:style>
  <w:style w:type="paragraph" w:styleId="TOC6">
    <w:name w:val="toc 6"/>
    <w:basedOn w:val="Normal"/>
    <w:next w:val="Normal"/>
    <w:pPr>
      <w:keepLines/>
      <w:tabs>
        <w:tab w:val="clear" w:pos="720"/>
        <w:tab w:val="right" w:pos="9346" w:leader="dot"/>
      </w:tabs>
      <w:ind w:hanging="547" w:start="3427" w:end="720"/>
    </w:pPr>
    <w:rPr>
      <w:lang w:val="en-CA"/>
    </w:rPr>
  </w:style>
  <w:style w:type="paragraph" w:styleId="TOC7">
    <w:name w:val="toc 7"/>
    <w:basedOn w:val="Normal"/>
    <w:next w:val="Normal"/>
    <w:pPr>
      <w:keepLines/>
      <w:tabs>
        <w:tab w:val="clear" w:pos="720"/>
        <w:tab w:val="right" w:pos="9346" w:leader="dot"/>
      </w:tabs>
      <w:ind w:hanging="533" w:start="3960" w:end="720"/>
    </w:pPr>
    <w:rPr>
      <w:lang w:val="en-CA"/>
    </w:rPr>
  </w:style>
  <w:style w:type="paragraph" w:styleId="TOC8">
    <w:name w:val="toc 8"/>
    <w:basedOn w:val="Normal"/>
    <w:next w:val="Normal"/>
    <w:pPr>
      <w:keepLines/>
      <w:tabs>
        <w:tab w:val="clear" w:pos="720"/>
        <w:tab w:val="right" w:pos="9346" w:leader="dot"/>
      </w:tabs>
      <w:ind w:hanging="533" w:start="3960" w:end="720"/>
    </w:pPr>
    <w:rPr>
      <w:lang w:val="en-CA"/>
    </w:rPr>
  </w:style>
  <w:style w:type="paragraph" w:styleId="TOC9">
    <w:name w:val="toc 9"/>
    <w:basedOn w:val="Normal"/>
    <w:next w:val="Normal"/>
    <w:pPr>
      <w:keepLines/>
      <w:tabs>
        <w:tab w:val="clear" w:pos="720"/>
        <w:tab w:val="right" w:pos="9346" w:leader="dot"/>
      </w:tabs>
      <w:ind w:hanging="533" w:start="3960" w:end="720"/>
    </w:pPr>
    <w:rPr>
      <w:lang w:val="en-C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2000-05-31T10:47:00Z</dcterms:created>
  <dc:creator>Winthrop, Stimson, Putnam &amp; Roberts</dc:creator>
  <dc:description/>
  <cp:keywords>63238099.01</cp:keywords>
  <dc:language>en-CA</dc:language>
  <cp:lastModifiedBy>Winthrop, Stimson, Putnam &amp; Roberts</cp:lastModifiedBy>
  <cp:lastPrinted>2000-05-19T13:32:00Z</cp:lastPrinted>
  <dcterms:modified xsi:type="dcterms:W3CDTF">2000-05-31T10:47:00Z</dcterms:modified>
  <cp:revision>2</cp:revision>
  <dc:subject>v 1.0</dc:subject>
  <dc:title>Memo Template</dc:title>
</cp:coreProperties>
</file>