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5760" w:leader="none"/>
        </w:tabs>
        <w:rPr/>
      </w:pPr>
      <w:r>
        <w:rPr/>
      </w:r>
    </w:p>
    <w:p>
      <w:pPr>
        <w:pStyle w:val="Header"/>
        <w:tabs>
          <w:tab w:val="clear" w:pos="4320"/>
          <w:tab w:val="clear" w:pos="8640"/>
          <w:tab w:val="left" w:pos="5760" w:leader="none"/>
        </w:tabs>
        <w:rPr/>
      </w:pPr>
      <w:r>
        <w:rPr/>
      </w:r>
    </w:p>
    <w:p>
      <w:pPr>
        <w:pStyle w:val="Header"/>
        <w:tabs>
          <w:tab w:val="clear" w:pos="4320"/>
          <w:tab w:val="clear" w:pos="8640"/>
          <w:tab w:val="left" w:pos="5760" w:leader="none"/>
        </w:tabs>
        <w:rPr/>
      </w:pPr>
      <w:r>
        <w:rPr/>
      </w:r>
    </w:p>
    <w:p>
      <w:pPr>
        <w:pStyle w:val="Header"/>
        <w:tabs>
          <w:tab w:val="clear" w:pos="4320"/>
          <w:tab w:val="clear" w:pos="8640"/>
          <w:tab w:val="left" w:pos="5760" w:leader="none"/>
        </w:tabs>
        <w:jc w:val="center"/>
        <w:rPr/>
      </w:pPr>
      <w:r>
        <w:rPr/>
      </w:r>
      <w:bookmarkStart w:id="0" w:name="Date"/>
      <w:bookmarkStart w:id="1" w:name="Date"/>
      <w:bookmarkEnd w:id="1"/>
    </w:p>
    <w:p>
      <w:pPr>
        <w:pStyle w:val="Header"/>
        <w:tabs>
          <w:tab w:val="clear" w:pos="4320"/>
          <w:tab w:val="clear" w:pos="8640"/>
          <w:tab w:val="left" w:pos="5760" w:leader="none"/>
        </w:tabs>
        <w:jc w:val="center"/>
        <w:rPr/>
      </w:pPr>
      <w:r>
        <w:rPr/>
      </w:r>
    </w:p>
    <w:p>
      <w:pPr>
        <w:pStyle w:val="Header"/>
        <w:tabs>
          <w:tab w:val="clear" w:pos="4320"/>
          <w:tab w:val="clear" w:pos="8640"/>
          <w:tab w:val="left" w:pos="5760" w:leader="none"/>
        </w:tabs>
        <w:jc w:val="center"/>
        <w:rPr/>
      </w:pPr>
      <w:r>
        <w:rPr/>
        <w:t>June 9, 2000</w:t>
      </w:r>
    </w:p>
    <w:p>
      <w:pPr>
        <w:pStyle w:val="Normal"/>
        <w:spacing w:before="840" w:after="840"/>
        <w:jc w:val="center"/>
        <w:rPr>
          <w:u w:val="single"/>
        </w:rPr>
      </w:pPr>
      <w:r>
        <w:rPr>
          <w:u w:val="single"/>
        </w:rPr>
        <w:t>M E M O R A N D U M</w:t>
      </w:r>
    </w:p>
    <w:p>
      <w:pPr>
        <w:pStyle w:val="Normal"/>
        <w:tabs>
          <w:tab w:val="clear" w:pos="720"/>
          <w:tab w:val="left" w:pos="1080" w:leader="none"/>
        </w:tabs>
        <w:spacing w:before="0" w:after="120"/>
        <w:rPr/>
      </w:pPr>
      <w:r>
        <w:rPr/>
        <w:t>To</w:t>
      </w:r>
      <w:r>
        <w:rPr>
          <w:caps/>
        </w:rPr>
        <w:t>:</w:t>
        <w:tab/>
      </w:r>
      <w:r>
        <w:rPr/>
        <w:t>ENRON DISTRIBUTION LIST</w:t>
      </w:r>
    </w:p>
    <w:p>
      <w:pPr>
        <w:pStyle w:val="Normal"/>
        <w:tabs>
          <w:tab w:val="clear" w:pos="720"/>
          <w:tab w:val="left" w:pos="1080" w:leader="none"/>
        </w:tabs>
        <w:rPr/>
      </w:pPr>
      <w:r>
        <w:rPr/>
        <w:t>From</w:t>
      </w:r>
      <w:r>
        <w:rPr>
          <w:caps/>
        </w:rPr>
        <w:t>:</w:t>
        <w:tab/>
      </w:r>
      <w:r>
        <w:rPr/>
        <w:t>HAZEL MUKUNA</w:t>
      </w:r>
    </w:p>
    <w:p>
      <w:pPr>
        <w:pStyle w:val="Normal"/>
        <w:rPr/>
      </w:pPr>
      <w:r>
        <w:rPr/>
      </w:r>
    </w:p>
    <w:p>
      <w:pPr>
        <w:pStyle w:val="Normal"/>
        <w:jc w:val="center"/>
        <w:rPr/>
      </w:pPr>
      <w:r>
        <w:rPr/>
        <w:t>Enron Pass-Through Asset Trust Securities (“PATS</w:t>
      </w:r>
      <w:r>
        <w:rPr>
          <w:sz w:val="16"/>
          <w:vertAlign w:val="superscript"/>
        </w:rPr>
        <w:t>SM</w:t>
      </w:r>
      <w:r>
        <w:rPr/>
        <w:t>”)</w:t>
      </w:r>
    </w:p>
    <w:p>
      <w:pPr>
        <w:pStyle w:val="Normal"/>
        <w:spacing w:before="0" w:after="120"/>
        <w:jc w:val="center"/>
        <w:rPr>
          <w:u w:val="single"/>
        </w:rPr>
      </w:pPr>
      <w:r>
        <w:rPr>
          <w:u w:val="single"/>
        </w:rPr>
        <w:t>Revised Drafts of Operative Documents</w:t>
      </w:r>
    </w:p>
    <w:p>
      <w:pPr>
        <w:pStyle w:val="memotext"/>
        <w:spacing w:lineRule="auto" w:line="240" w:before="120" w:after="120"/>
        <w:jc w:val="both"/>
        <w:rPr/>
      </w:pPr>
      <w:r>
        <w:rPr/>
        <w:t xml:space="preserve">We have attached revised drafts of the Trust Agreement, the Remarketing Agreement, the Purchase Agreement and the Confirmations relating to the swaps and options, each of which is marked to show changes from the prior draft thereof. As the UBS Warburg team has not reviewed any of these drafts, these drafts remain subject to additional comments. </w:t>
      </w:r>
    </w:p>
    <w:p>
      <w:pPr>
        <w:pStyle w:val="Normal"/>
        <w:tabs>
          <w:tab w:val="clear" w:pos="720"/>
          <w:tab w:val="left" w:pos="1440" w:leader="none"/>
        </w:tabs>
        <w:spacing w:before="0" w:after="120"/>
        <w:ind w:firstLine="720" w:end="0"/>
        <w:jc w:val="both"/>
        <w:rPr/>
      </w:pPr>
      <w:r>
        <w:rPr/>
        <w:t xml:space="preserve">As we have done in the past, to facilitate your review of these drafts, we have set out below certain specific comments on the attached documentation. </w:t>
      </w:r>
    </w:p>
    <w:p>
      <w:pPr>
        <w:pStyle w:val="Normal"/>
        <w:numPr>
          <w:ilvl w:val="0"/>
          <w:numId w:val="2"/>
        </w:numPr>
        <w:tabs>
          <w:tab w:val="clear" w:pos="720"/>
          <w:tab w:val="left" w:pos="1440" w:leader="none"/>
        </w:tabs>
        <w:spacing w:before="0" w:after="120"/>
        <w:jc w:val="both"/>
        <w:rPr/>
      </w:pPr>
      <w:r>
        <w:rPr/>
        <w:t xml:space="preserve">Based upon further discussions with UBS Warburg regarding the type of instrument pursuant to which the notes should be issued, we believe that a new indenture governed by New York law and containing the same covenants (and no additional ones) that are currently in Enron’s 1985 indenture would be the most effective and simplest approach. In this regard, in addition to potential rating agency questions, please consider that the market for long-term eurobonds customarily requires more than a short-form issuing and paying agency agreement, and that using such an agency agreement now could adversely affect the ability to remarket the notes in three years. We also believe that there are issues associated with issuing sterling-denominated notes under the 1985 indenture and that, in any event, there are obvious benefits to using an indenture governed by the same law as that governing the balance of the operative documents. </w:t>
      </w:r>
    </w:p>
    <w:p>
      <w:pPr>
        <w:pStyle w:val="Normal"/>
        <w:numPr>
          <w:ilvl w:val="0"/>
          <w:numId w:val="2"/>
        </w:numPr>
        <w:tabs>
          <w:tab w:val="clear" w:pos="720"/>
          <w:tab w:val="left" w:pos="1440" w:leader="none"/>
        </w:tabs>
        <w:spacing w:before="0" w:after="120"/>
        <w:jc w:val="both"/>
        <w:rPr/>
      </w:pPr>
      <w:r>
        <w:rPr/>
        <w:t>We have not removed the various provisions in the Operative Documents regarding consent to the jurisdiction of certain New York courts or the related waiver of venue. In fact, after further discussion and in view of UBS’s agreement to remove the waiver of jury trial, we have revised these provisions to require consent to the exclusive (as opposed to the non-exclusive) jurisdiction of certain New York courts. Also, given our discussions yesterday afternoon regarding the method used for the calculation of the “Settlement Amount” in Option 2, we have not included an arbitration provision because of the objective and customary nature of that calculation.</w:t>
      </w:r>
    </w:p>
    <w:p>
      <w:pPr>
        <w:pStyle w:val="Normal"/>
        <w:numPr>
          <w:ilvl w:val="0"/>
          <w:numId w:val="2"/>
        </w:numPr>
        <w:tabs>
          <w:tab w:val="clear" w:pos="720"/>
          <w:tab w:val="left" w:pos="1440" w:leader="none"/>
        </w:tabs>
        <w:spacing w:before="0" w:after="120"/>
        <w:jc w:val="both"/>
        <w:rPr/>
      </w:pPr>
      <w:r>
        <w:rPr/>
        <w:t xml:space="preserve">As we indicated at the time of our last distribution of the Purchase Agreement, we have not made the requested changes to Section 8(c) thereof because Enron’s Underwriting Agreement Standard Provisions includes the identical provision regarding the reimbursement of fees and expenses of counsel. Unless we do not appreciate the use of these standard forms, it would seem to us that incorporating a provision adopted by Enron in its standard forms is not an unreasonable approach. </w:t>
      </w:r>
    </w:p>
    <w:p>
      <w:pPr>
        <w:pStyle w:val="Normal"/>
        <w:numPr>
          <w:ilvl w:val="0"/>
          <w:numId w:val="2"/>
        </w:numPr>
        <w:tabs>
          <w:tab w:val="clear" w:pos="720"/>
          <w:tab w:val="left" w:pos="1440" w:leader="none"/>
        </w:tabs>
        <w:spacing w:before="0" w:after="120"/>
        <w:jc w:val="both"/>
        <w:rPr/>
      </w:pPr>
      <w:r>
        <w:rPr/>
        <w:t>As we have also indicated from time to time, for purposes of preparing the forms of legal opinions to be attached to the Purchase Agreement, we would appreciate receiving copies of opinions delivered in other contexts, such as those used in Enron’s 1997 offering of trust preferred securities.</w:t>
      </w:r>
    </w:p>
    <w:p>
      <w:pPr>
        <w:pStyle w:val="Normal"/>
        <w:numPr>
          <w:ilvl w:val="0"/>
          <w:numId w:val="2"/>
        </w:numPr>
        <w:tabs>
          <w:tab w:val="clear" w:pos="720"/>
          <w:tab w:val="left" w:pos="1440" w:leader="none"/>
        </w:tabs>
        <w:spacing w:before="0" w:after="120"/>
        <w:jc w:val="both"/>
        <w:rPr/>
      </w:pPr>
      <w:r>
        <w:rPr/>
        <w:t xml:space="preserve">Given that the Preliminary Offering Circular has not been largely unaffected by the comments to the Operative Documents and our related discussions, we have not distributed a revised draft thereof. </w:t>
      </w:r>
    </w:p>
    <w:p>
      <w:pPr>
        <w:pStyle w:val="Normal"/>
        <w:tabs>
          <w:tab w:val="clear" w:pos="720"/>
          <w:tab w:val="left" w:pos="1440" w:leader="none"/>
        </w:tabs>
        <w:spacing w:before="0" w:after="120"/>
        <w:ind w:firstLine="720" w:end="0"/>
        <w:jc w:val="both"/>
        <w:rPr/>
      </w:pPr>
      <w:r>
        <w:rPr/>
        <w:t>If you have any questions, please call me or Todd.</w:t>
      </w:r>
    </w:p>
    <w:p>
      <w:pPr>
        <w:pStyle w:val="memotext"/>
        <w:spacing w:lineRule="auto" w:line="240" w:before="120" w:after="0"/>
        <w:ind w:hanging="0" w:end="0"/>
        <w:jc w:val="center"/>
        <w:rPr/>
      </w:pPr>
      <w:r>
        <w:rPr/>
        <w:t>H.M.</w:t>
      </w:r>
    </w:p>
    <w:p>
      <w:pPr>
        <w:pStyle w:val="memotext"/>
        <w:spacing w:lineRule="auto" w:line="240" w:before="120" w:after="0"/>
        <w:ind w:hanging="0" w:end="0"/>
        <w:rPr/>
      </w:pPr>
      <w:r>
        <w:rPr/>
      </w:r>
    </w:p>
    <w:p>
      <w:pPr>
        <w:pStyle w:val="memotext"/>
        <w:spacing w:lineRule="auto" w:line="240" w:before="120" w:after="0"/>
        <w:ind w:hanging="0" w:end="0"/>
        <w:rPr/>
      </w:pPr>
      <w:r>
        <w:rPr/>
      </w:r>
    </w:p>
    <w:p>
      <w:pPr>
        <w:pStyle w:val="memotext"/>
        <w:spacing w:lineRule="auto" w:line="240" w:before="120" w:after="0"/>
        <w:ind w:hanging="0" w:end="0"/>
        <w:rPr/>
      </w:pPr>
      <w:r>
        <w:rPr/>
        <w:t>cc:  Todd W. Eckland, Esq.</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p>
  <w:p>
    <w:pPr>
      <w:pStyle w:val="DocID"/>
      <w:rPr/>
    </w:pPr>
    <w:r>
      <w:rPr/>
      <w:fldChar w:fldCharType="begin"/>
    </w:r>
    <w:r>
      <w:rPr/>
      <w:instrText xml:space="preserve"> KEYWORDS </w:instrText>
    </w:r>
    <w:r>
      <w:rPr/>
      <w:fldChar w:fldCharType="separate"/>
    </w:r>
    <w:r>
      <w:rPr/>
      <w:t>63240077.01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KEYWORDS </w:instrText>
    </w:r>
    <w:r>
      <w:rPr/>
      <w:fldChar w:fldCharType="separate"/>
    </w:r>
    <w:r>
      <w:rPr/>
      <w:t>63240077.01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mallCaps/>
        <w:sz w:val="28"/>
      </w:rPr>
    </w:pPr>
    <w:r>
      <w:rPr>
        <w:b/>
        <w:smallCaps/>
        <w:sz w:val="28"/>
      </w:rPr>
      <w:t>Winthrop, Stimson, Putnam &amp; Roberts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mallCaps/>
        <w:sz w:val="28"/>
      </w:rPr>
    </w:pPr>
    <w:r>
      <w:rPr>
        <w:b/>
        <w:smallCaps/>
        <w:sz w:val="28"/>
      </w:rPr>
      <w:t>Winthrop, Stimson, Putnam &amp; Roberts</w:t>
    </w:r>
  </w:p>
  <w:p>
    <w:pPr>
      <w:pStyle w:val="Header"/>
      <w:jc w:val="end"/>
      <w:rPr>
        <w:b/>
        <w:smallCaps/>
        <w:sz w:val="28"/>
      </w:rPr>
    </w:pPr>
    <w:r>
      <w:rPr>
        <w:b/>
        <w:smallCaps/>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caps/>
      <w:color w:val="0000FF"/>
      <w:kern w:val="2"/>
    </w:rPr>
  </w:style>
  <w:style w:type="paragraph" w:styleId="Heading2">
    <w:name w:val="heading 2"/>
    <w:basedOn w:val="Normal"/>
    <w:next w:val="Normal"/>
    <w:qFormat/>
    <w:pPr>
      <w:numPr>
        <w:ilvl w:val="1"/>
        <w:numId w:val="1"/>
      </w:numPr>
      <w:tabs>
        <w:tab w:val="clear" w:pos="720"/>
        <w:tab w:val="left" w:pos="2318"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00"/>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00"/>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4"/>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memotext">
    <w:name w:val="memo text"/>
    <w:basedOn w:val="Normal"/>
    <w:qFormat/>
    <w:pPr>
      <w:spacing w:lineRule="auto" w:line="360"/>
      <w:ind w:firstLine="720" w:start="0" w:end="0"/>
    </w:pPr>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ind w:firstLine="1440" w:start="0"/>
      <w:outlineLvl w:val="9"/>
    </w:pPr>
    <w:rPr>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4w">
    <w:name w:val="Body4w/#"/>
    <w:basedOn w:val="Heading4"/>
    <w:qFormat/>
    <w:pPr>
      <w:numPr>
        <w:ilvl w:val="0"/>
        <w:numId w:val="0"/>
      </w:numPr>
      <w:ind w:firstLine="720" w:start="720"/>
      <w:outlineLvl w:val="9"/>
    </w:pPr>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tabs>
        <w:tab w:val="clear" w:pos="4493"/>
      </w:tabs>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FootnoteText">
    <w:name w:val="footnote text"/>
    <w:basedOn w:val="Normal"/>
    <w:pPr>
      <w:spacing w:before="60" w:after="0"/>
      <w:ind w:hanging="180" w:start="180" w:end="0"/>
    </w:pPr>
    <w:rPr>
      <w:sz w:val="20"/>
    </w:rPr>
  </w:style>
  <w:style w:type="paragraph" w:styleId="SchedHead">
    <w:name w:val="SchedHead"/>
    <w:basedOn w:val="Normal"/>
    <w:qFormat/>
    <w:pPr>
      <w:spacing w:before="0" w:after="360"/>
      <w:jc w:val="end"/>
    </w:pPr>
    <w:rPr>
      <w:color w:val="0000FF"/>
    </w:rPr>
  </w:style>
  <w:style w:type="paragraph" w:styleId="SchedTitle">
    <w:name w:val="SchedTitle"/>
    <w:basedOn w:val="Normal"/>
    <w:qFormat/>
    <w:pPr>
      <w:spacing w:before="0" w:after="360"/>
      <w:jc w:val="center"/>
    </w:pPr>
    <w:rPr>
      <w:caps/>
      <w:color w:val="0000FF"/>
    </w:rPr>
  </w:style>
  <w:style w:type="paragraph" w:styleId="TOC1">
    <w:name w:val="toc 1"/>
    <w:basedOn w:val="Normal"/>
    <w:next w:val="Normal"/>
    <w:pPr>
      <w:keepLines/>
      <w:tabs>
        <w:tab w:val="clear" w:pos="720"/>
        <w:tab w:val="right" w:pos="9360" w:leader="dot"/>
      </w:tabs>
      <w:spacing w:before="360" w:after="240"/>
      <w:jc w:val="center"/>
    </w:pPr>
    <w:rPr>
      <w:caps/>
    </w:rPr>
  </w:style>
  <w:style w:type="paragraph" w:styleId="TOC2">
    <w:name w:val="toc 2"/>
    <w:basedOn w:val="Normal"/>
    <w:next w:val="Normal"/>
    <w:pPr>
      <w:keepLines/>
      <w:tabs>
        <w:tab w:val="clear" w:pos="720"/>
        <w:tab w:val="right" w:pos="9346" w:leader="dot"/>
      </w:tabs>
      <w:spacing w:before="60" w:after="0"/>
      <w:ind w:hanging="1440" w:start="1440" w:end="720"/>
    </w:pPr>
    <w:rPr/>
  </w:style>
  <w:style w:type="paragraph" w:styleId="TOC3">
    <w:name w:val="toc 3"/>
    <w:basedOn w:val="Normal"/>
    <w:next w:val="Normal"/>
    <w:pPr>
      <w:keepLines/>
      <w:tabs>
        <w:tab w:val="clear" w:pos="720"/>
        <w:tab w:val="right" w:pos="9346" w:leader="dot"/>
      </w:tabs>
      <w:ind w:hanging="504" w:start="1944" w:end="720"/>
    </w:pPr>
    <w:rPr>
      <w:lang w:val="en-CA"/>
    </w:rPr>
  </w:style>
  <w:style w:type="paragraph" w:styleId="TOC4">
    <w:name w:val="toc 4"/>
    <w:basedOn w:val="Normal"/>
    <w:next w:val="Normal"/>
    <w:pPr>
      <w:keepLines/>
      <w:tabs>
        <w:tab w:val="clear" w:pos="720"/>
        <w:tab w:val="right" w:pos="2160" w:leader="none"/>
        <w:tab w:val="right" w:pos="9346" w:leader="dot"/>
      </w:tabs>
      <w:ind w:hanging="979" w:start="2419" w:end="720"/>
    </w:pPr>
    <w:rPr>
      <w:lang w:val="en-CA"/>
    </w:rPr>
  </w:style>
  <w:style w:type="paragraph" w:styleId="TOC5">
    <w:name w:val="toc 5"/>
    <w:basedOn w:val="Normal"/>
    <w:next w:val="Normal"/>
    <w:pPr>
      <w:keepLines/>
      <w:tabs>
        <w:tab w:val="clear" w:pos="720"/>
        <w:tab w:val="right" w:pos="9346" w:leader="dot"/>
      </w:tabs>
      <w:ind w:hanging="547" w:start="2880" w:end="720"/>
    </w:pPr>
    <w:rPr>
      <w:lang w:val="en-CA"/>
    </w:rPr>
  </w:style>
  <w:style w:type="paragraph" w:styleId="TOC6">
    <w:name w:val="toc 6"/>
    <w:basedOn w:val="Normal"/>
    <w:next w:val="Normal"/>
    <w:pPr>
      <w:keepLines/>
      <w:tabs>
        <w:tab w:val="clear" w:pos="720"/>
        <w:tab w:val="right" w:pos="9346" w:leader="dot"/>
      </w:tabs>
      <w:ind w:hanging="547" w:start="3427" w:end="720"/>
    </w:pPr>
    <w:rPr>
      <w:lang w:val="en-CA"/>
    </w:rPr>
  </w:style>
  <w:style w:type="paragraph" w:styleId="TOC7">
    <w:name w:val="toc 7"/>
    <w:basedOn w:val="Normal"/>
    <w:next w:val="Normal"/>
    <w:pPr>
      <w:keepLines/>
      <w:tabs>
        <w:tab w:val="clear" w:pos="720"/>
        <w:tab w:val="right" w:pos="9346" w:leader="dot"/>
      </w:tabs>
      <w:ind w:hanging="533" w:start="3960" w:end="720"/>
    </w:pPr>
    <w:rPr>
      <w:lang w:val="en-CA"/>
    </w:rPr>
  </w:style>
  <w:style w:type="paragraph" w:styleId="TOC8">
    <w:name w:val="toc 8"/>
    <w:basedOn w:val="Normal"/>
    <w:next w:val="Normal"/>
    <w:pPr>
      <w:keepLines/>
      <w:tabs>
        <w:tab w:val="clear" w:pos="720"/>
        <w:tab w:val="right" w:pos="9346" w:leader="dot"/>
      </w:tabs>
      <w:ind w:hanging="533" w:start="3960" w:end="720"/>
    </w:pPr>
    <w:rPr>
      <w:lang w:val="en-CA"/>
    </w:rPr>
  </w:style>
  <w:style w:type="paragraph" w:styleId="TOC9">
    <w:name w:val="toc 9"/>
    <w:basedOn w:val="Normal"/>
    <w:next w:val="Normal"/>
    <w:pPr>
      <w:keepLines/>
      <w:tabs>
        <w:tab w:val="clear" w:pos="720"/>
        <w:tab w:val="right" w:pos="9346" w:leader="dot"/>
      </w:tabs>
      <w:ind w:hanging="533" w:start="3960" w:end="720"/>
    </w:pPr>
    <w:rPr>
      <w:lang w:val="en-C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2000-06-09T23:26:00Z</dcterms:created>
  <dc:creator>Winthrop, Stimson, Putnam &amp; Roberts</dc:creator>
  <dc:description/>
  <cp:keywords>63240077.01</cp:keywords>
  <dc:language>en-CA</dc:language>
  <cp:lastModifiedBy>Winthrop, Stimson, Putnam &amp; Roberts</cp:lastModifiedBy>
  <cp:lastPrinted>2000-05-19T13:32:00Z</cp:lastPrinted>
  <dcterms:modified xsi:type="dcterms:W3CDTF">2000-06-09T23:26:00Z</dcterms:modified>
  <cp:revision>2</cp:revision>
  <dc:subject>v 1.0</dc:subject>
  <dc:title>Memo Template</dc:title>
</cp:coreProperties>
</file>