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5760" w:leader="none"/>
        </w:tabs>
        <w:rPr/>
      </w:pPr>
      <w:r>
        <w:rPr/>
      </w:r>
    </w:p>
    <w:p>
      <w:pPr>
        <w:pStyle w:val="Header"/>
        <w:tabs>
          <w:tab w:val="clear" w:pos="4320"/>
          <w:tab w:val="clear" w:pos="8640"/>
          <w:tab w:val="left" w:pos="5760" w:leader="none"/>
        </w:tabs>
        <w:rPr/>
      </w:pPr>
      <w:r>
        <w:rPr/>
      </w:r>
    </w:p>
    <w:p>
      <w:pPr>
        <w:pStyle w:val="Header"/>
        <w:tabs>
          <w:tab w:val="clear" w:pos="4320"/>
          <w:tab w:val="clear" w:pos="8640"/>
          <w:tab w:val="left" w:pos="5760" w:leader="none"/>
        </w:tabs>
        <w:rPr/>
      </w:pPr>
      <w:r>
        <w:rPr/>
      </w:r>
    </w:p>
    <w:p>
      <w:pPr>
        <w:pStyle w:val="Header"/>
        <w:tabs>
          <w:tab w:val="clear" w:pos="4320"/>
          <w:tab w:val="clear" w:pos="8640"/>
          <w:tab w:val="left" w:pos="5760" w:leader="none"/>
        </w:tabs>
        <w:jc w:val="center"/>
        <w:rPr/>
      </w:pPr>
      <w:r>
        <w:rPr/>
      </w:r>
      <w:bookmarkStart w:id="0" w:name="Date"/>
      <w:bookmarkStart w:id="1" w:name="Date"/>
      <w:bookmarkEnd w:id="1"/>
    </w:p>
    <w:p>
      <w:pPr>
        <w:pStyle w:val="Header"/>
        <w:tabs>
          <w:tab w:val="clear" w:pos="4320"/>
          <w:tab w:val="clear" w:pos="8640"/>
          <w:tab w:val="left" w:pos="5760" w:leader="none"/>
        </w:tabs>
        <w:jc w:val="center"/>
        <w:rPr/>
      </w:pPr>
      <w:r>
        <w:rPr/>
      </w:r>
    </w:p>
    <w:p>
      <w:pPr>
        <w:pStyle w:val="Header"/>
        <w:tabs>
          <w:tab w:val="clear" w:pos="4320"/>
          <w:tab w:val="clear" w:pos="8640"/>
          <w:tab w:val="left" w:pos="5760" w:leader="none"/>
        </w:tabs>
        <w:jc w:val="center"/>
        <w:rPr/>
      </w:pPr>
      <w:r>
        <w:rPr/>
      </w:r>
    </w:p>
    <w:p>
      <w:pPr>
        <w:pStyle w:val="Header"/>
        <w:tabs>
          <w:tab w:val="clear" w:pos="4320"/>
          <w:tab w:val="clear" w:pos="8640"/>
          <w:tab w:val="left" w:pos="5760" w:leader="none"/>
        </w:tabs>
        <w:jc w:val="center"/>
        <w:rPr/>
      </w:pPr>
      <w:r>
        <w:rPr/>
        <w:t>May 19, 2000</w:t>
      </w:r>
    </w:p>
    <w:p>
      <w:pPr>
        <w:pStyle w:val="Normal"/>
        <w:spacing w:before="840" w:after="840"/>
        <w:jc w:val="center"/>
        <w:rPr>
          <w:u w:val="single"/>
        </w:rPr>
      </w:pPr>
      <w:r>
        <w:rPr>
          <w:u w:val="single"/>
        </w:rPr>
        <w:t>M E M O R A N D U M</w:t>
      </w:r>
    </w:p>
    <w:p>
      <w:pPr>
        <w:pStyle w:val="Normal"/>
        <w:tabs>
          <w:tab w:val="clear" w:pos="720"/>
          <w:tab w:val="left" w:pos="1080" w:leader="none"/>
        </w:tabs>
        <w:spacing w:before="0" w:after="120"/>
        <w:rPr/>
      </w:pPr>
      <w:r>
        <w:rPr/>
        <w:t>To</w:t>
      </w:r>
      <w:r>
        <w:rPr>
          <w:caps/>
        </w:rPr>
        <w:t>:</w:t>
        <w:tab/>
      </w:r>
      <w:r>
        <w:rPr/>
        <w:t>ENRON DISTRIBUTION LIST</w:t>
      </w:r>
    </w:p>
    <w:p>
      <w:pPr>
        <w:pStyle w:val="Normal"/>
        <w:tabs>
          <w:tab w:val="clear" w:pos="720"/>
          <w:tab w:val="left" w:pos="1080" w:leader="none"/>
        </w:tabs>
        <w:rPr/>
      </w:pPr>
      <w:r>
        <w:rPr/>
        <w:t>From</w:t>
      </w:r>
      <w:r>
        <w:rPr>
          <w:caps/>
        </w:rPr>
        <w:t>:</w:t>
        <w:tab/>
      </w:r>
      <w:r>
        <w:rPr/>
        <w:t>HAZEL MUKUNA</w:t>
      </w:r>
    </w:p>
    <w:p>
      <w:pPr>
        <w:pStyle w:val="Normal"/>
        <w:rPr/>
      </w:pPr>
      <w:r>
        <w:rPr/>
      </w:r>
    </w:p>
    <w:p>
      <w:pPr>
        <w:pStyle w:val="Normal"/>
        <w:jc w:val="center"/>
        <w:rPr/>
      </w:pPr>
      <w:r>
        <w:rPr/>
        <w:t>Enron Pass-Through Asset Trust Securities (“PATS</w:t>
      </w:r>
      <w:r>
        <w:rPr>
          <w:sz w:val="16"/>
          <w:vertAlign w:val="superscript"/>
        </w:rPr>
        <w:t>SM</w:t>
      </w:r>
      <w:r>
        <w:rPr/>
        <w:t>”)</w:t>
      </w:r>
    </w:p>
    <w:p>
      <w:pPr>
        <w:pStyle w:val="Normal"/>
        <w:spacing w:before="0" w:after="120"/>
        <w:jc w:val="center"/>
        <w:rPr>
          <w:u w:val="single"/>
        </w:rPr>
      </w:pPr>
      <w:r>
        <w:rPr>
          <w:u w:val="single"/>
        </w:rPr>
        <w:t>Initial Draft of Preliminary Offering Circular</w:t>
      </w:r>
      <w:bookmarkStart w:id="2" w:name="startoftext"/>
      <w:bookmarkEnd w:id="2"/>
    </w:p>
    <w:p>
      <w:pPr>
        <w:pStyle w:val="memotext"/>
        <w:spacing w:lineRule="auto" w:line="240" w:before="120" w:after="0"/>
        <w:jc w:val="both"/>
        <w:rPr/>
      </w:pPr>
      <w:r>
        <w:rPr/>
        <w:t>We have attached an initial draft of the preliminary offering circular relating to the offering of the PATS. (As you will see, this draft has been prepared based upon the Yorkshire offering circular.) Also attached is a draft of the closing list describing the documents to be delivered in connection with this offering. In addition, we expect to distribute to you later today by email initial drafts of the ISDA documentation governing the swaps and options, as well as, over the weekend also by email, initial drafts of the trust agreement, the remarketing agreement and the purchase agreement. As UBS Warburg has not reviewed any of these drafts, they remain subject to additional comments.</w:t>
      </w:r>
    </w:p>
    <w:p>
      <w:pPr>
        <w:pStyle w:val="memotext"/>
        <w:spacing w:lineRule="auto" w:line="240" w:before="120" w:after="0"/>
        <w:jc w:val="both"/>
        <w:rPr/>
      </w:pPr>
      <w:r>
        <w:rPr/>
        <w:t>We understand that an organizational meeting and drafting session has been scheduled for next Tuesday at Enron’s offices in Houston, at which time we look forward to discussing the offering of the PATS and these drafts. In the meantime, if you have any questions, please call me or Todd.</w:t>
      </w:r>
    </w:p>
    <w:p>
      <w:pPr>
        <w:pStyle w:val="memotext"/>
        <w:spacing w:lineRule="auto" w:line="240" w:before="120" w:after="0"/>
        <w:ind w:hanging="0" w:end="0"/>
        <w:jc w:val="center"/>
        <w:rPr/>
      </w:pPr>
      <w:r>
        <w:rPr/>
        <w:t>H.M.</w:t>
      </w:r>
    </w:p>
    <w:p>
      <w:pPr>
        <w:pStyle w:val="memotext"/>
        <w:spacing w:lineRule="auto" w:line="240" w:before="120" w:after="0"/>
        <w:ind w:hanging="0" w:end="0"/>
        <w:jc w:val="center"/>
        <w:rPr/>
      </w:pPr>
      <w:r>
        <w:rPr/>
      </w:r>
    </w:p>
    <w:p>
      <w:pPr>
        <w:pStyle w:val="memotext"/>
        <w:spacing w:lineRule="auto" w:line="240" w:before="120" w:after="0"/>
        <w:ind w:hanging="0" w:end="0"/>
        <w:rPr/>
      </w:pPr>
      <w:r>
        <w:rPr/>
      </w:r>
    </w:p>
    <w:p>
      <w:pPr>
        <w:pStyle w:val="memotext"/>
        <w:spacing w:lineRule="auto" w:line="240" w:before="120" w:after="0"/>
        <w:ind w:hanging="0" w:end="0"/>
        <w:rPr/>
      </w:pPr>
      <w:r>
        <w:rPr/>
      </w:r>
    </w:p>
    <w:p>
      <w:pPr>
        <w:pStyle w:val="memotext"/>
        <w:spacing w:lineRule="auto" w:line="240" w:before="120" w:after="0"/>
        <w:ind w:hanging="0" w:end="0"/>
        <w:rPr/>
      </w:pPr>
      <w:r>
        <w:rPr/>
        <w:t>cc:  Todd W. Eckland, Esq.</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fldChar w:fldCharType="begin"/>
    </w:r>
    <w:r>
      <w:rPr/>
      <w:instrText xml:space="preserve"> KEYWORDS </w:instrText>
    </w:r>
    <w:r>
      <w:rPr/>
      <w:fldChar w:fldCharType="separate"/>
    </w:r>
    <w:r>
      <w:rPr/>
      <w:t>63235886.01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63235886.01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mallCaps/>
        <w:sz w:val="28"/>
      </w:rPr>
    </w:pPr>
    <w:r>
      <w:rPr>
        <w:b/>
        <w:smallCaps/>
        <w:sz w:val="28"/>
      </w:rPr>
      <w:t>Winthrop, Stimson, Putnam &amp; Roberts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mallCaps/>
        <w:sz w:val="28"/>
      </w:rPr>
    </w:pPr>
    <w:r>
      <w:rPr>
        <w:b/>
        <w:smallCaps/>
        <w:sz w:val="28"/>
      </w:rPr>
      <w:t>Winthrop, Stimson, Putnam &amp; Roberts</w:t>
    </w:r>
  </w:p>
  <w:p>
    <w:pPr>
      <w:pStyle w:val="Header"/>
      <w:jc w:val="end"/>
      <w:rPr>
        <w:b/>
        <w:smallCaps/>
        <w:sz w:val="28"/>
      </w:rPr>
    </w:pPr>
    <w:r>
      <w:rPr>
        <w:b/>
        <w:smallCaps/>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memotext">
    <w:name w:val="memo text"/>
    <w:basedOn w:val="Normal"/>
    <w:qFormat/>
    <w:pPr>
      <w:spacing w:lineRule="auto" w:line="360"/>
      <w:ind w:firstLine="720" w:start="0" w:end="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4w">
    <w:name w:val="Body4w/#"/>
    <w:basedOn w:val="Heading4"/>
    <w:qFormat/>
    <w:pPr>
      <w:numPr>
        <w:ilvl w:val="0"/>
        <w:numId w:val="0"/>
      </w:numPr>
      <w:ind w:firstLine="720" w:start="720"/>
      <w:outlineLvl w:val="9"/>
    </w:pPr>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FootnoteText">
    <w:name w:val="footnote text"/>
    <w:basedOn w:val="Normal"/>
    <w:pPr>
      <w:spacing w:before="60" w:after="0"/>
      <w:ind w:hanging="180" w:start="180" w:end="0"/>
    </w:pPr>
    <w:rPr>
      <w:sz w:val="20"/>
    </w:rPr>
  </w:style>
  <w:style w:type="paragraph" w:styleId="SchedHead">
    <w:name w:val="SchedHead"/>
    <w:basedOn w:val="Normal"/>
    <w:qFormat/>
    <w:pPr>
      <w:spacing w:before="0" w:after="360"/>
      <w:jc w:val="end"/>
    </w:pPr>
    <w:rPr>
      <w:color w:val="0000FF"/>
    </w:rPr>
  </w:style>
  <w:style w:type="paragraph" w:styleId="SchedTitle">
    <w:name w:val="SchedTitle"/>
    <w:basedOn w:val="Normal"/>
    <w:qFormat/>
    <w:pPr>
      <w:spacing w:before="0" w:after="360"/>
      <w:jc w:val="center"/>
    </w:pPr>
    <w:rPr>
      <w:caps/>
      <w:color w:val="0000FF"/>
    </w:rPr>
  </w:style>
  <w:style w:type="paragraph" w:styleId="TOC1">
    <w:name w:val="toc 1"/>
    <w:basedOn w:val="Normal"/>
    <w:next w:val="Normal"/>
    <w:pPr>
      <w:keepLines/>
      <w:tabs>
        <w:tab w:val="clear" w:pos="720"/>
        <w:tab w:val="right" w:pos="9360" w:leader="dot"/>
      </w:tabs>
      <w:spacing w:before="360" w:after="240"/>
      <w:jc w:val="center"/>
    </w:pPr>
    <w:rPr>
      <w:caps/>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2000-05-19T14:43:00Z</dcterms:created>
  <dc:creator>Winthrop, Stimson, Putnam &amp; Roberts</dc:creator>
  <dc:description/>
  <cp:keywords>63235886.01</cp:keywords>
  <dc:language>en-CA</dc:language>
  <cp:lastModifiedBy>Winthrop, Stimson, Putnam &amp; Roberts</cp:lastModifiedBy>
  <cp:lastPrinted>2000-05-19T13:32:00Z</cp:lastPrinted>
  <dcterms:modified xsi:type="dcterms:W3CDTF">2000-05-19T15:08:00Z</dcterms:modified>
  <cp:revision>3</cp:revision>
  <dc:subject>v 1.0</dc:subject>
  <dc:title>Memo Template</dc:title>
</cp:coreProperties>
</file>