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Covenants</w:t>
      </w:r>
    </w:p>
    <w:p>
      <w:pPr>
        <w:pStyle w:val="Normal"/>
        <w:jc w:val="both"/>
        <w:rPr>
          <w:u w:val="single"/>
        </w:rPr>
      </w:pPr>
      <w:r>
        <w:rPr>
          <w:u w:val="single"/>
        </w:rPr>
      </w:r>
    </w:p>
    <w:p>
      <w:pPr>
        <w:pStyle w:val="Normal"/>
        <w:jc w:val="both"/>
        <w:rPr>
          <w:u w:val="single"/>
        </w:rPr>
      </w:pPr>
      <w:r>
        <w:rPr>
          <w:u w:val="single"/>
        </w:rPr>
      </w:r>
    </w:p>
    <w:p>
      <w:pPr>
        <w:pStyle w:val="Normal"/>
        <w:jc w:val="both"/>
        <w:rPr/>
      </w:pPr>
      <w:r>
        <w:rPr/>
        <w:t xml:space="preserve">Section 1.1  </w:t>
      </w:r>
      <w:r>
        <w:rPr>
          <w:u w:val="single"/>
        </w:rPr>
        <w:t>Actions by the Group Companies</w:t>
      </w:r>
      <w:r>
        <w:fldChar w:fldCharType="begin"/>
      </w:r>
      <w:r>
        <w:rPr/>
        <w:instrText xml:space="preserve"> TC "Section 6.2</w:instrText>
        <w:tab/>
        <w:instrText xml:space="preserve">Actions by the Group Companies" \l 2 </w:instrText>
      </w:r>
      <w:r>
        <w:rPr/>
        <w:fldChar w:fldCharType="separate"/>
      </w:r>
      <w:r>
        <w:rPr/>
      </w:r>
      <w:r>
        <w:rPr/>
        <w:fldChar w:fldCharType="end"/>
      </w:r>
      <w:r>
        <w:rPr/>
        <w:t>.  Prior to the Closing, except as otherwise disclosed in or contemplated by this Agreement, the Seller will not permit any of the Group Companies, without the consent of the Purchaser, which consent will not be unreasonably withheld, conditioned, or delayed, to:</w:t>
      </w:r>
    </w:p>
    <w:p>
      <w:pPr>
        <w:pStyle w:val="Normal"/>
        <w:jc w:val="both"/>
        <w:rPr/>
      </w:pPr>
      <w:r>
        <w:rPr/>
      </w:r>
    </w:p>
    <w:p>
      <w:pPr>
        <w:pStyle w:val="Normal"/>
        <w:numPr>
          <w:ilvl w:val="2"/>
          <w:numId w:val="1"/>
        </w:numPr>
        <w:jc w:val="both"/>
        <w:rPr/>
      </w:pPr>
      <w:r>
        <w:rPr/>
        <w:t>issue any securities, including any option, warrant, or other right to acquire such securities;</w:t>
      </w:r>
    </w:p>
    <w:p>
      <w:pPr>
        <w:pStyle w:val="Normal"/>
        <w:jc w:val="both"/>
        <w:rPr/>
      </w:pPr>
      <w:r>
        <w:rPr/>
      </w:r>
    </w:p>
    <w:p>
      <w:pPr>
        <w:pStyle w:val="Normal"/>
        <w:ind w:start="1440" w:end="0"/>
        <w:jc w:val="both"/>
        <w:rPr/>
      </w:pPr>
      <w:r>
        <w:rPr/>
        <w:t>(b)</w:t>
        <w:tab/>
        <w:t>merge, consolidate, or sell all or substantially all of its assets;</w:t>
      </w:r>
    </w:p>
    <w:p>
      <w:pPr>
        <w:pStyle w:val="Normal"/>
        <w:ind w:firstLine="720" w:start="720" w:end="0"/>
        <w:jc w:val="both"/>
        <w:rPr/>
      </w:pPr>
      <w:r>
        <w:rPr/>
      </w:r>
    </w:p>
    <w:p>
      <w:pPr>
        <w:pStyle w:val="Normal"/>
        <w:ind w:firstLine="720" w:start="720" w:end="0"/>
        <w:jc w:val="both"/>
        <w:rPr/>
      </w:pPr>
      <w:r>
        <w:rPr/>
        <w:t>(c)</w:t>
        <w:tab/>
        <w:t>make any loan to, or any investment in, any Person in excess of U.S. $1,000,000, except in accordance with the Budget;</w:t>
      </w:r>
    </w:p>
    <w:p>
      <w:pPr>
        <w:pStyle w:val="Normal"/>
        <w:jc w:val="both"/>
        <w:rPr/>
      </w:pPr>
      <w:r>
        <w:rPr/>
      </w:r>
    </w:p>
    <w:p>
      <w:pPr>
        <w:pStyle w:val="BodyTextIndent"/>
        <w:ind w:firstLine="720" w:start="720" w:end="0"/>
        <w:rPr/>
      </w:pPr>
      <w:r>
        <w:rPr/>
        <w:t>(d)</w:t>
        <w:tab/>
        <w:t xml:space="preserve">execute or become subject to any material contract or material agreement, other than the Existing Contracts, the Additional Contracts or any amendments thereto or in accordance with the Budget; </w:t>
      </w:r>
    </w:p>
    <w:p>
      <w:pPr>
        <w:pStyle w:val="Normal"/>
        <w:ind w:start="1440" w:end="0"/>
        <w:jc w:val="both"/>
        <w:rPr/>
      </w:pPr>
      <w:r>
        <w:rPr/>
      </w:r>
    </w:p>
    <w:p>
      <w:pPr>
        <w:pStyle w:val="BodyTextIndent"/>
        <w:ind w:firstLine="720" w:start="720" w:end="0"/>
        <w:rPr/>
      </w:pPr>
      <w:r>
        <w:rPr/>
        <w:t>(e)</w:t>
        <w:tab/>
        <w:t>incur any obligation or pay any expense to the Seller or any of its Affiliates, except in accordance with the Budget or pursuant to any Existing Contract or Additional Contract;</w:t>
      </w:r>
    </w:p>
    <w:p>
      <w:pPr>
        <w:pStyle w:val="Normal"/>
        <w:ind w:start="1440" w:end="0"/>
        <w:jc w:val="both"/>
        <w:rPr/>
      </w:pPr>
      <w:r>
        <w:rPr/>
      </w:r>
    </w:p>
    <w:p>
      <w:pPr>
        <w:pStyle w:val="BodyTextIndent"/>
        <w:ind w:firstLine="720" w:start="720" w:end="0"/>
        <w:rPr/>
      </w:pPr>
      <w:r>
        <w:rPr/>
        <w:t>(f)</w:t>
        <w:tab/>
        <w:t xml:space="preserve">incur or pay any individual expense in excess of U.S. $1,000,000, except (i) for (A) Emergency Expenditures or (B) expenses incurred under or in accordance with any Existing Contract or Additional Contract or (ii) in accordance with the Budget; </w:t>
      </w:r>
    </w:p>
    <w:p>
      <w:pPr>
        <w:pStyle w:val="ArticleHeading"/>
        <w:numPr>
          <w:ilvl w:val="0"/>
          <w:numId w:val="0"/>
        </w:numPr>
        <w:ind w:hanging="0" w:start="288" w:end="0"/>
        <w:jc w:val="start"/>
        <w:rPr/>
      </w:pPr>
      <w:r>
        <w:rPr/>
      </w:r>
    </w:p>
    <w:p>
      <w:pPr>
        <w:pStyle w:val="BodyTextIndent"/>
        <w:ind w:firstLine="720" w:start="720" w:end="0"/>
        <w:rPr/>
      </w:pPr>
      <w:r>
        <w:rPr/>
        <w:t>(g)</w:t>
        <w:tab/>
        <w:t>incur or pay expenses which in the aggregate exceed the total amount provided for in the Budget, except for (i) Emergency Expenditures or (ii) costs incurred under or in accordance with the Existing Contracts and Additional Contracts; or</w:t>
      </w:r>
    </w:p>
    <w:p>
      <w:pPr>
        <w:pStyle w:val="ArticleHeading"/>
        <w:numPr>
          <w:ilvl w:val="0"/>
          <w:numId w:val="0"/>
        </w:numPr>
        <w:ind w:hanging="0" w:start="288" w:end="0"/>
        <w:jc w:val="start"/>
        <w:rPr/>
      </w:pPr>
      <w:r>
        <w:rPr/>
      </w:r>
    </w:p>
    <w:p>
      <w:pPr>
        <w:pStyle w:val="BodyTextIndent"/>
        <w:numPr>
          <w:ilvl w:val="0"/>
          <w:numId w:val="2"/>
        </w:numPr>
        <w:rPr/>
      </w:pPr>
      <w:r>
        <w:rPr/>
        <w:t xml:space="preserve">enter into an agreement to do any of the foregoing. </w:t>
      </w:r>
    </w:p>
    <w:p>
      <w:pPr>
        <w:pStyle w:val="ArticleHeading"/>
        <w:numPr>
          <w:ilvl w:val="0"/>
          <w:numId w:val="0"/>
        </w:numPr>
        <w:ind w:hanging="0" w:start="0"/>
        <w:jc w:val="start"/>
        <w:rPr/>
      </w:pPr>
      <w:r>
        <w:rPr/>
      </w:r>
    </w:p>
    <w:p>
      <w:pPr>
        <w:pStyle w:val="Normal"/>
        <w:jc w:val="both"/>
        <w:rPr/>
      </w:pPr>
      <w:r>
        <w:rPr/>
        <w:t>Section 1.2</w:t>
      </w:r>
      <w:r>
        <w:rPr>
          <w:u w:val="single"/>
        </w:rPr>
        <w:t xml:space="preserve"> Budget</w:t>
      </w:r>
      <w:r>
        <w:rPr/>
        <w:t>.</w:t>
      </w:r>
      <w:r>
        <w:fldChar w:fldCharType="begin"/>
      </w:r>
      <w:r>
        <w:rPr/>
        <w:instrText xml:space="preserve"> TC "Section 6.3</w:instrText>
        <w:tab/>
        <w:instrText xml:space="preserve">Budget." \l 2 </w:instrText>
      </w:r>
      <w:r>
        <w:rPr/>
        <w:fldChar w:fldCharType="separate"/>
      </w:r>
      <w:r>
        <w:rPr/>
      </w:r>
      <w:r>
        <w:rPr/>
        <w:fldChar w:fldCharType="end"/>
      </w:r>
      <w:r>
        <w:rPr/>
        <w:t xml:space="preserve">  Notwithstanding any other provisions of this Agreement, the Seller may cause or permit any of the Group Companies to make the capital expenditures, in the amounts and for the purposes contemplated by the budget attached hereto as </w:t>
      </w:r>
      <w:r>
        <w:rPr>
          <w:u w:val="single"/>
        </w:rPr>
        <w:t>Schedule 6.3</w:t>
      </w:r>
      <w:r>
        <w:rPr/>
        <w:t xml:space="preserve"> (the "</w:t>
      </w:r>
      <w:r>
        <w:rPr>
          <w:u w:val="single"/>
        </w:rPr>
        <w:t>Budget</w:t>
      </w:r>
      <w:r>
        <w:rPr/>
        <w:t xml:space="preserve">"), and to take actions inconsistent with the provisions of this Agreement if such actions are reasonably necessary or appropriate, in time as well as nature, for any of the Group Companies to implement and give effect to the transactions contemplated by the Budget.  Notwithstanding the foregoing, the Seller shall also have the right to make Emergency Expenditures, up to U.S. $2,000,000 per item, without prior written approval of the Purchaser.  If an Emergency Expenditure will exceed U.S. $2,000,000, the Seller shall submit the same to the Purchaser for the Purchaser's prior written approval; provided that, the parties agree that if the Purchaser fails to respond to any request of the Seller for an Emergency Expenditure within 24 hours from the receipt of the request therefor, then the request shall be deemed approved by the Purchaser. </w:t>
      </w:r>
    </w:p>
    <w:p>
      <w:pPr>
        <w:pStyle w:val="Normal"/>
        <w:jc w:val="both"/>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suff w:val="space"/>
      <w:lvlText w:val="ARTICLE %1"/>
      <w:lvlJc w:val="center"/>
      <w:pPr>
        <w:tabs>
          <w:tab w:val="num" w:pos="0"/>
        </w:tabs>
        <w:ind w:start="360" w:hanging="72"/>
      </w:pPr>
    </w:lvl>
    <w:lvl w:ilvl="1">
      <w:start w:val="1"/>
      <w:isLgl/>
      <w:numFmt w:val="decimal"/>
      <w:lvlText w:val="Section %1.%2"/>
      <w:lvlJc w:val="start"/>
      <w:pPr>
        <w:tabs>
          <w:tab w:val="num" w:pos="1800"/>
        </w:tabs>
        <w:ind w:start="0" w:firstLine="720"/>
      </w:pPr>
    </w:lvl>
    <w:lvl w:ilvl="2">
      <w:start w:val="1"/>
      <w:numFmt w:val="lowerLetter"/>
      <w:lvlText w:val="(%3)"/>
      <w:lvlJc w:val="start"/>
      <w:pPr>
        <w:tabs>
          <w:tab w:val="num" w:pos="1800"/>
        </w:tabs>
        <w:ind w:start="720" w:firstLine="720"/>
      </w:pPr>
      <w:rPr>
        <w:i w:val="false"/>
        <w:b w:val="false"/>
      </w:rPr>
    </w:lvl>
    <w:lvl w:ilvl="3">
      <w:start w:val="1"/>
      <w:numFmt w:val="lowerRoman"/>
      <w:lvlText w:val="(%4)"/>
      <w:lvlJc w:val="start"/>
      <w:pPr>
        <w:tabs>
          <w:tab w:val="num" w:pos="2880"/>
        </w:tabs>
        <w:ind w:start="1440" w:firstLine="720"/>
      </w:pPr>
    </w:lvl>
    <w:lvl w:ilvl="4">
      <w:start w:val="1"/>
      <w:numFmt w:val="decimal"/>
      <w:lvlText w:val="%1.%2.%3.%4.%5."/>
      <w:lvlJc w:val="start"/>
      <w:pPr>
        <w:tabs>
          <w:tab w:val="num" w:pos="2520"/>
        </w:tabs>
        <w:ind w:start="2232" w:hanging="792"/>
      </w:pPr>
    </w:lvl>
    <w:lvl w:ilvl="5">
      <w:start w:val="1"/>
      <w:numFmt w:val="decimal"/>
      <w:lvlText w:val="%1.%2.%3.%4.%5.%6."/>
      <w:lvlJc w:val="start"/>
      <w:pPr>
        <w:tabs>
          <w:tab w:val="num" w:pos="324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4680"/>
        </w:tabs>
        <w:ind w:start="4320" w:hanging="1440"/>
      </w:pPr>
    </w:lvl>
  </w:abstractNum>
  <w:abstractNum w:abstractNumId="2">
    <w:lvl w:ilvl="0">
      <w:start w:val="8"/>
      <w:numFmt w:val="lowerLetter"/>
      <w:lvlText w:val="(%1)"/>
      <w:lvlJc w:val="start"/>
      <w:pPr>
        <w:tabs>
          <w:tab w:val="num" w:pos="2160"/>
        </w:tabs>
        <w:ind w:start="2160" w:hanging="72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2">
    <w:name w:val="WW8Num1z2"/>
    <w:qFormat/>
    <w:rPr>
      <w:b w:val="false"/>
      <w:i w:val="false"/>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jc w:val="center"/>
    </w:pPr>
    <w:rPr>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rticleHeading">
    <w:name w:val="Article Heading"/>
    <w:basedOn w:val="Normal"/>
    <w:qFormat/>
    <w:pPr>
      <w:keepNext w:val="true"/>
      <w:keepLines/>
      <w:numPr>
        <w:ilvl w:val="0"/>
        <w:numId w:val="1"/>
      </w:numPr>
      <w:tabs>
        <w:tab w:val="clear" w:pos="720"/>
        <w:tab w:val="center" w:pos="4680" w:leader="none"/>
      </w:tabs>
      <w:jc w:val="center"/>
    </w:pPr>
    <w:rPr>
      <w:szCs w:val="20"/>
    </w:rPr>
  </w:style>
  <w:style w:type="paragraph" w:styleId="BodyTextIndent">
    <w:name w:val="Body Text Indent"/>
    <w:basedOn w:val="Normal"/>
    <w:pPr>
      <w:jc w:val="both"/>
    </w:pPr>
    <w:rPr>
      <w:szCs w:val="20"/>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2001-10-17T11:32:00Z</dcterms:created>
  <dc:creator>dmille2</dc:creator>
  <dc:description/>
  <dc:language>en-CA</dc:language>
  <cp:lastModifiedBy>dmille2</cp:lastModifiedBy>
  <dcterms:modified xsi:type="dcterms:W3CDTF">2001-10-17T11:35:00Z</dcterms:modified>
  <cp:revision>1</cp:revision>
  <dc:subject/>
  <dc:title>Covenants</dc:title>
</cp:coreProperties>
</file>