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18" w:type="dxa"/>
        <w:tblLayout w:type="fixed"/>
        <w:tblCellMar>
          <w:top w:w="0" w:type="dxa"/>
          <w:start w:w="108" w:type="dxa"/>
          <w:bottom w:w="0" w:type="dxa"/>
          <w:end w:w="108" w:type="dxa"/>
        </w:tblCellMar>
      </w:tblPr>
      <w:tblGrid>
        <w:gridCol w:w="3186"/>
        <w:gridCol w:w="3186"/>
        <w:gridCol w:w="3186"/>
      </w:tblGrid>
      <w:tr>
        <w:trPr/>
        <w:tc>
          <w:tcPr>
            <w:tcW w:w="3186" w:type="dxa"/>
            <w:tcBorders/>
          </w:tcPr>
          <w:p>
            <w:pPr>
              <w:pStyle w:val="VELeftAddressBlock"/>
              <w:snapToGrid w:val="false"/>
              <w:rPr/>
            </w:pPr>
            <w:r>
              <w:rPr/>
            </w:r>
          </w:p>
          <w:p>
            <w:pPr>
              <w:pStyle w:val="VELeftAddressBlock"/>
              <w:rPr/>
            </w:pPr>
            <w:r>
              <w:rPr/>
            </w:r>
          </w:p>
          <w:p>
            <w:pPr>
              <w:pStyle w:val="VELeftAddressBlock"/>
              <w:rPr/>
            </w:pPr>
            <w:r>
              <w:rPr/>
            </w:r>
          </w:p>
          <w:p>
            <w:pPr>
              <w:pStyle w:val="VELeftAddressBlock"/>
              <w:rPr/>
            </w:pPr>
            <w:r>
              <w:rPr/>
            </w:r>
          </w:p>
          <w:p>
            <w:pPr>
              <w:pStyle w:val="VELeftAddressBlock"/>
              <w:rPr/>
            </w:pPr>
            <w:r>
              <w:rPr/>
            </w:r>
          </w:p>
          <w:p>
            <w:pPr>
              <w:pStyle w:val="VELeftAddressBlock"/>
              <w:rPr/>
            </w:pPr>
            <w:r>
              <w:rPr/>
            </w:r>
          </w:p>
          <w:p>
            <w:pPr>
              <w:pStyle w:val="VELeftAddressBlock"/>
              <w:rPr/>
            </w:pPr>
            <w:r>
              <w:rPr/>
            </w:r>
          </w:p>
          <w:p>
            <w:pPr>
              <w:pStyle w:val="VELeftAddressBlock"/>
              <w:rPr/>
            </w:pPr>
            <w:r>
              <w:rPr/>
            </w:r>
            <w:bookmarkStart w:id="0" w:name="SenderPhone"/>
            <w:bookmarkStart w:id="1" w:name="SenderPhone"/>
            <w:bookmarkEnd w:id="1"/>
          </w:p>
          <w:p>
            <w:pPr>
              <w:pStyle w:val="VELeftAddressBlock"/>
              <w:rPr/>
            </w:pPr>
            <w:r>
              <w:rPr/>
            </w:r>
            <w:bookmarkStart w:id="2" w:name="SenderFax"/>
            <w:bookmarkStart w:id="3" w:name="SenderFax"/>
            <w:bookmarkEnd w:id="3"/>
          </w:p>
        </w:tc>
        <w:tc>
          <w:tcPr>
            <w:tcW w:w="3186" w:type="dxa"/>
            <w:tcBorders/>
          </w:tcPr>
          <w:p>
            <w:pPr>
              <w:pStyle w:val="VECenteredAddressBlock"/>
              <w:snapToGrid w:val="false"/>
              <w:rPr/>
            </w:pPr>
            <w:r>
              <w:rPr/>
            </w:r>
          </w:p>
          <w:p>
            <w:pPr>
              <w:pStyle w:val="VECenteredAddressBlock"/>
              <w:rPr/>
            </w:pPr>
            <w:r>
              <w:rPr/>
            </w:r>
          </w:p>
          <w:p>
            <w:pPr>
              <w:pStyle w:val="VECenteredAddressBlock"/>
              <w:rPr/>
            </w:pPr>
            <w:r>
              <w:rPr/>
            </w:r>
          </w:p>
          <w:p>
            <w:pPr>
              <w:pStyle w:val="VECenteredAddressBlock"/>
              <w:rPr/>
            </w:pPr>
            <w:r>
              <w:rPr/>
            </w:r>
          </w:p>
          <w:p>
            <w:pPr>
              <w:pStyle w:val="VECenteredAddressBlock"/>
              <w:rPr/>
            </w:pPr>
            <w:r>
              <w:rPr/>
            </w:r>
          </w:p>
          <w:p>
            <w:pPr>
              <w:pStyle w:val="VECenteredAddressBlock"/>
              <w:rPr/>
            </w:pPr>
            <w:r>
              <w:rPr/>
            </w:r>
          </w:p>
        </w:tc>
        <w:tc>
          <w:tcPr>
            <w:tcW w:w="3186" w:type="dxa"/>
            <w:tcBorders/>
          </w:tcPr>
          <w:p>
            <w:pPr>
              <w:pStyle w:val="VERightAddressBlock"/>
              <w:snapToGrid w:val="false"/>
              <w:rPr/>
            </w:pPr>
            <w:r>
              <w:rPr/>
            </w:r>
          </w:p>
          <w:p>
            <w:pPr>
              <w:pStyle w:val="VERightAddressBlock"/>
              <w:rPr/>
            </w:pPr>
            <w:r>
              <w:rPr/>
            </w:r>
          </w:p>
          <w:p>
            <w:pPr>
              <w:pStyle w:val="VERightAddressBlock"/>
              <w:rPr/>
            </w:pPr>
            <w:r>
              <w:rPr/>
            </w:r>
          </w:p>
          <w:p>
            <w:pPr>
              <w:pStyle w:val="VERightAddressBlock"/>
              <w:rPr/>
            </w:pPr>
            <w:r>
              <w:rPr/>
            </w:r>
          </w:p>
          <w:p>
            <w:pPr>
              <w:pStyle w:val="VERightAddressBlock"/>
              <w:rPr/>
            </w:pPr>
            <w:r>
              <w:rPr/>
            </w:r>
          </w:p>
          <w:p>
            <w:pPr>
              <w:pStyle w:val="VERightAddressBlock"/>
              <w:rPr/>
            </w:pPr>
            <w:r>
              <w:rPr/>
            </w:r>
          </w:p>
          <w:p>
            <w:pPr>
              <w:pStyle w:val="VERightAddressBlock"/>
              <w:rPr/>
            </w:pPr>
            <w:r>
              <w:rPr/>
            </w:r>
          </w:p>
          <w:p>
            <w:pPr>
              <w:pStyle w:val="VERightAddressBlock"/>
              <w:rPr/>
            </w:pPr>
            <w:r>
              <w:rPr/>
            </w:r>
            <w:bookmarkStart w:id="4" w:name="SenderEmail"/>
            <w:bookmarkStart w:id="5" w:name="SenderEmail"/>
            <w:bookmarkEnd w:id="5"/>
          </w:p>
          <w:p>
            <w:pPr>
              <w:pStyle w:val="VERightAddressBlock"/>
              <w:rPr/>
            </w:pPr>
            <w:r>
              <w:rPr/>
            </w:r>
            <w:bookmarkStart w:id="6" w:name="VEWeb"/>
            <w:bookmarkStart w:id="7" w:name="VEWeb"/>
            <w:bookmarkEnd w:id="7"/>
          </w:p>
        </w:tc>
      </w:tr>
    </w:tbl>
    <w:p>
      <w:pPr>
        <w:pStyle w:val="VEMemoHeading"/>
        <w:rPr/>
      </w:pPr>
      <w:r>
        <mc:AlternateContent>
          <mc:Choice Requires="wps">
            <w:drawing>
              <wp:anchor behindDoc="0" distT="0" distB="0" distL="114935" distR="114935" simplePos="0" locked="0" layoutInCell="0" allowOverlap="1" relativeHeight="9">
                <wp:simplePos x="0" y="0"/>
                <wp:positionH relativeFrom="margin">
                  <wp:align>center</wp:align>
                </wp:positionH>
                <wp:positionV relativeFrom="paragraph">
                  <wp:posOffset>730250</wp:posOffset>
                </wp:positionV>
                <wp:extent cx="3201035" cy="635"/>
                <wp:effectExtent l="635" t="6350" r="635" b="6350"/>
                <wp:wrapNone/>
                <wp:docPr id="1" name=""/>
                <a:graphic xmlns:a="http://schemas.openxmlformats.org/drawingml/2006/main">
                  <a:graphicData uri="http://schemas.microsoft.com/office/word/2010/wordprocessingShape">
                    <wps:wsp>
                      <wps:cNvSpPr/>
                      <wps:spPr>
                        <a:xfrm>
                          <a:off x="0" y="0"/>
                          <a:ext cx="3201120" cy="72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07.95pt,57.5pt" to="359.95pt,57.5pt" stroked="t" o:allowincell="f" style="position:absolute;mso-position-horizontal:center;mso-position-horizontal-relative:margin">
                <v:stroke color="black" weight="12600" joinstyle="miter" endcap="flat"/>
                <v:fill o:detectmouseclick="t" on="false"/>
                <w10:wrap type="none"/>
              </v:line>
            </w:pict>
          </mc:Fallback>
        </mc:AlternateContent>
      </w:r>
      <w:r>
        <w:rPr/>
        <w:t xml:space="preserve"> </w:t>
      </w:r>
      <w:r>
        <w:rPr/>
        <w:t>Memorandum</w:t>
      </w:r>
    </w:p>
    <w:p>
      <w:pPr>
        <w:pStyle w:val="VEDate"/>
        <w:rPr/>
      </w:pPr>
      <w:r>
        <w:rPr/>
        <w:fldChar w:fldCharType="begin"/>
      </w:r>
      <w:r>
        <w:rPr/>
        <w:instrText xml:space="preserve"> DATE \@"MMMM\ d', 'yyyy" </w:instrText>
      </w:r>
      <w:r>
        <w:rPr/>
        <w:fldChar w:fldCharType="separate"/>
      </w:r>
      <w:r>
        <w:rPr/>
        <w:t>September 28, 2025</w:t>
      </w:r>
      <w:r>
        <w:rPr/>
        <w:fldChar w:fldCharType="end"/>
      </w:r>
    </w:p>
    <w:tbl>
      <w:tblPr>
        <w:tblW w:w="8301" w:type="dxa"/>
        <w:jc w:val="start"/>
        <w:tblInd w:w="0" w:type="dxa"/>
        <w:tblLayout w:type="fixed"/>
        <w:tblCellMar>
          <w:top w:w="0" w:type="dxa"/>
          <w:start w:w="108" w:type="dxa"/>
          <w:bottom w:w="0" w:type="dxa"/>
          <w:end w:w="108" w:type="dxa"/>
        </w:tblCellMar>
      </w:tblPr>
      <w:tblGrid>
        <w:gridCol w:w="1440"/>
        <w:gridCol w:w="6861"/>
      </w:tblGrid>
      <w:tr>
        <w:trPr/>
        <w:tc>
          <w:tcPr>
            <w:tcW w:w="1440" w:type="dxa"/>
            <w:tcBorders/>
          </w:tcPr>
          <w:p>
            <w:pPr>
              <w:pStyle w:val="VEBodyTextNoSpace"/>
              <w:rPr/>
            </w:pPr>
            <w:r>
              <w:rPr/>
              <w:t>TO:</w:t>
            </w:r>
          </w:p>
        </w:tc>
        <w:tc>
          <w:tcPr>
            <w:tcW w:w="6861" w:type="dxa"/>
            <w:tcBorders/>
          </w:tcPr>
          <w:p>
            <w:pPr>
              <w:pStyle w:val="VEBodyTextNoSpace"/>
              <w:rPr/>
            </w:pPr>
            <w:bookmarkStart w:id="8" w:name="MemoTo"/>
            <w:bookmarkEnd w:id="8"/>
            <w:r>
              <w:rPr/>
              <w:t>Enron Attorneys</w:t>
            </w:r>
          </w:p>
        </w:tc>
      </w:tr>
      <w:tr>
        <w:trPr/>
        <w:tc>
          <w:tcPr>
            <w:tcW w:w="1440" w:type="dxa"/>
            <w:tcBorders/>
          </w:tcPr>
          <w:p>
            <w:pPr>
              <w:pStyle w:val="VEBodyTextNoSpace"/>
              <w:snapToGrid w:val="false"/>
              <w:rPr/>
            </w:pPr>
            <w:r>
              <w:rPr/>
            </w:r>
          </w:p>
        </w:tc>
        <w:tc>
          <w:tcPr>
            <w:tcW w:w="6861" w:type="dxa"/>
            <w:tcBorders/>
          </w:tcPr>
          <w:p>
            <w:pPr>
              <w:pStyle w:val="VEBodyTextNoSpace"/>
              <w:snapToGrid w:val="false"/>
              <w:rPr/>
            </w:pPr>
            <w:r>
              <w:rPr/>
            </w:r>
          </w:p>
        </w:tc>
      </w:tr>
      <w:tr>
        <w:trPr/>
        <w:tc>
          <w:tcPr>
            <w:tcW w:w="1440" w:type="dxa"/>
            <w:tcBorders/>
          </w:tcPr>
          <w:p>
            <w:pPr>
              <w:pStyle w:val="VEBodyTextNoSpace"/>
              <w:rPr/>
            </w:pPr>
            <w:r>
              <w:rPr/>
              <w:t>FROM:</w:t>
            </w:r>
          </w:p>
        </w:tc>
        <w:tc>
          <w:tcPr>
            <w:tcW w:w="6861" w:type="dxa"/>
            <w:tcBorders/>
          </w:tcPr>
          <w:p>
            <w:pPr>
              <w:pStyle w:val="VEBodyTextNoSpace"/>
              <w:rPr/>
            </w:pPr>
            <w:bookmarkStart w:id="9" w:name="MemoFrom"/>
            <w:bookmarkEnd w:id="9"/>
            <w:r>
              <w:rPr/>
              <w:t>Peter del Vecchio</w:t>
            </w:r>
          </w:p>
          <w:p>
            <w:pPr>
              <w:pStyle w:val="VEBodyTextNoSpace"/>
              <w:rPr/>
            </w:pPr>
            <w:r>
              <w:rPr/>
              <w:t>Joe Henry</w:t>
            </w:r>
          </w:p>
        </w:tc>
      </w:tr>
      <w:tr>
        <w:trPr/>
        <w:tc>
          <w:tcPr>
            <w:tcW w:w="1440" w:type="dxa"/>
            <w:tcBorders/>
          </w:tcPr>
          <w:p>
            <w:pPr>
              <w:pStyle w:val="VEBodyTextNoSpace"/>
              <w:snapToGrid w:val="false"/>
              <w:rPr/>
            </w:pPr>
            <w:r>
              <w:rPr/>
            </w:r>
          </w:p>
        </w:tc>
        <w:tc>
          <w:tcPr>
            <w:tcW w:w="6861" w:type="dxa"/>
            <w:tcBorders/>
          </w:tcPr>
          <w:p>
            <w:pPr>
              <w:pStyle w:val="VEBodyTextNoSpace"/>
              <w:snapToGrid w:val="false"/>
              <w:rPr/>
            </w:pPr>
            <w:r>
              <w:rPr/>
            </w:r>
          </w:p>
        </w:tc>
      </w:tr>
      <w:tr>
        <w:trPr/>
        <w:tc>
          <w:tcPr>
            <w:tcW w:w="1440" w:type="dxa"/>
            <w:tcBorders/>
          </w:tcPr>
          <w:p>
            <w:pPr>
              <w:pStyle w:val="VEBodyText"/>
              <w:spacing w:before="0" w:after="240"/>
              <w:rPr/>
            </w:pPr>
            <w:r>
              <w:rPr/>
              <w:t>RE:</w:t>
            </w:r>
          </w:p>
        </w:tc>
        <w:tc>
          <w:tcPr>
            <w:tcW w:w="6861" w:type="dxa"/>
            <w:tcBorders/>
          </w:tcPr>
          <w:p>
            <w:pPr>
              <w:pStyle w:val="VEBodyText"/>
              <w:spacing w:before="0" w:after="240"/>
              <w:jc w:val="start"/>
              <w:rPr/>
            </w:pPr>
            <w:bookmarkStart w:id="10" w:name="MemoRegarding"/>
            <w:bookmarkEnd w:id="10"/>
            <w:r>
              <w:rPr/>
              <w:t xml:space="preserve">Enron/Dynegy Agreement and Plan of Merger — </w:t>
              <w:br/>
              <w:t>Compliance with the Conduct of Business Covenants</w:t>
            </w:r>
          </w:p>
        </w:tc>
      </w:tr>
    </w:tbl>
    <w:p>
      <w:pPr>
        <w:pStyle w:val="VEBodyTextFLI"/>
        <w:pBdr>
          <w:top w:val="single" w:sz="4" w:space="1" w:color="000000"/>
        </w:pBdr>
        <w:spacing w:before="0" w:after="0"/>
        <w:ind w:hanging="0" w:end="0"/>
        <w:rPr/>
      </w:pPr>
      <w:r>
        <w:rPr/>
      </w:r>
      <w:bookmarkStart w:id="11" w:name="Start"/>
      <w:bookmarkStart w:id="12" w:name="Start"/>
      <w:bookmarkEnd w:id="12"/>
    </w:p>
    <w:p>
      <w:pPr>
        <w:pStyle w:val="VEBodyTextFLI"/>
        <w:rPr/>
      </w:pPr>
      <w:r>
        <w:rPr/>
        <w:t>On November 9, 2001, Enron Corp. (“Enron”) entered into an Agreement and Plan of Merger (the “Merger Agreement”) with Dynegy Inc. (“Dynegy”), Stanford, Inc., a wholly owned subsidiary of Dynegy (“Newco”), Sorin, Inc., a wholly owned subsidiary of Newco, and Badin, Inc., a wholly owned subsidiary of Newco.</w:t>
      </w:r>
    </w:p>
    <w:p>
      <w:pPr>
        <w:pStyle w:val="VEBodyTextFLI"/>
        <w:rPr/>
      </w:pPr>
      <w:r>
        <w:rPr/>
        <w:t xml:space="preserve">Section 7.1 of the Merger Agreement contains covenants restricting the manner in which Enron conducts its business during the interim period prior to the proposed merger with Dynegy.  A copy of Section 7.1 of the Merger Agreement is attached as Exhibit A to this memorandum.  </w:t>
      </w:r>
      <w:r>
        <w:rPr>
          <w:b/>
          <w:bCs/>
        </w:rPr>
        <w:t>Please read this memorandum and Exhibit A attached hereto carefully.  Certain information contained herein is non-public and confidential.</w:t>
      </w:r>
    </w:p>
    <w:p>
      <w:pPr>
        <w:pStyle w:val="VEBodyTextFLI"/>
        <w:rPr/>
      </w:pPr>
      <w:r>
        <w:rPr/>
        <w:t>The following summary has been prepared to familiarize you with the contents of Section 7.1 of the Master Agreement and related Enron Disclosure Letter.  Please remember, however, that it is only a summary and each attorney should refer to the full text of Section 7.1 set forth as Exhibit “A” when analyzing the impact these covenants have on proposed business transactions to be entered into by Enron and its Subsidiaries.</w:t>
      </w:r>
    </w:p>
    <w:p>
      <w:pPr>
        <w:pStyle w:val="VEBodyTextFLI"/>
        <w:rPr/>
      </w:pPr>
      <w:r>
        <w:rPr/>
        <w:t>The Covenant Compliance Committee has been formed consisting of Mark Haedicke, Lance Schuler, Rob Walls and John Ale.  Peter del Vecchio and Joe Henry will support the Committee by interfacing with Enron attorneys and business units in interpreting the Merger Agreement covenants and, where appropriate, seeking clarification, waivers or amendments from Dynegy regarding these provisions.</w:t>
      </w:r>
    </w:p>
    <w:p>
      <w:pPr>
        <w:pStyle w:val="VEBodyTextFLI"/>
        <w:rPr>
          <w:b/>
          <w:bCs/>
        </w:rPr>
      </w:pPr>
      <w:r>
        <w:rPr>
          <w:b/>
          <w:bCs/>
        </w:rPr>
        <w:t xml:space="preserve">Please call Peter del Vecchio at x3-9875 or Joe Henry at x5-1549 with any questions or concerns that you may have relating to the conduct of Enron’s business in compliance with the Merger Agreement, including whether an action may be prohibited by Section 7.1 of the Merger Agreement.  </w:t>
      </w:r>
      <w:r>
        <w:br w:type="page"/>
      </w:r>
    </w:p>
    <w:p>
      <w:pPr>
        <w:pStyle w:val="VEBodyTextFLI"/>
        <w:keepNext w:val="true"/>
        <w:ind w:hanging="0" w:end="0"/>
        <w:rPr>
          <w:b/>
          <w:bCs/>
        </w:rPr>
      </w:pPr>
      <w:r>
        <w:rPr>
          <w:b/>
          <w:bCs/>
        </w:rPr>
        <w:t>Conduct of Business Covenants</w:t>
      </w:r>
    </w:p>
    <w:p>
      <w:pPr>
        <w:pStyle w:val="VEBodyTextFLI"/>
        <w:keepNext w:val="true"/>
        <w:ind w:hanging="0" w:end="0"/>
        <w:rPr/>
      </w:pPr>
      <w:r>
        <w:rPr/>
        <w:tab/>
        <w:t>The following is an outline of the covenants relating to the conduct of Enron’s business during the interim period prior to merger contained in Section 7.1 of the Merger Agreement and the related disclosure letter.</w:t>
      </w:r>
    </w:p>
    <w:p>
      <w:pPr>
        <w:pStyle w:val="VEBodyTextFLI"/>
        <w:keepNext w:val="true"/>
        <w:ind w:hanging="0" w:end="0"/>
        <w:rPr>
          <w:u w:val="single"/>
        </w:rPr>
      </w:pPr>
      <w:r>
        <w:rPr>
          <w:u w:val="single"/>
        </w:rPr>
        <w:t>Negative Covenants</w:t>
      </w:r>
    </w:p>
    <w:p>
      <w:pPr>
        <w:pStyle w:val="VEBodyTextFLI"/>
        <w:keepNext w:val="true"/>
        <w:numPr>
          <w:ilvl w:val="0"/>
          <w:numId w:val="7"/>
        </w:numPr>
        <w:rPr>
          <w:i/>
          <w:i/>
          <w:iCs/>
        </w:rPr>
      </w:pPr>
      <w:r>
        <w:rPr>
          <w:i/>
          <w:iCs/>
        </w:rPr>
        <w:t>Enron shall not:</w:t>
      </w:r>
    </w:p>
    <w:p>
      <w:pPr>
        <w:pStyle w:val="VEBodyTextFLI"/>
        <w:keepNext w:val="true"/>
        <w:numPr>
          <w:ilvl w:val="0"/>
          <w:numId w:val="12"/>
        </w:numPr>
        <w:rPr/>
      </w:pPr>
      <w:r>
        <w:rPr/>
        <w:t xml:space="preserve">amend its articles of incorporation or by-laws </w:t>
      </w:r>
      <w:r>
        <w:rPr>
          <w:b/>
          <w:bCs/>
        </w:rPr>
        <w:t>[Sec. 7.1(c)]</w:t>
      </w:r>
    </w:p>
    <w:p>
      <w:pPr>
        <w:pStyle w:val="VEBodyTextFLI"/>
        <w:keepNext w:val="true"/>
        <w:numPr>
          <w:ilvl w:val="0"/>
          <w:numId w:val="12"/>
        </w:numPr>
        <w:rPr/>
      </w:pPr>
      <w:r>
        <w:rPr/>
        <w:t xml:space="preserve">change any material accounting principles </w:t>
      </w:r>
      <w:r>
        <w:rPr>
          <w:b/>
          <w:bCs/>
        </w:rPr>
        <w:t>[Sec. 7.1(k)]</w:t>
      </w:r>
    </w:p>
    <w:p>
      <w:pPr>
        <w:pStyle w:val="VEBodyTextFLI"/>
        <w:keepNext w:val="true"/>
        <w:numPr>
          <w:ilvl w:val="0"/>
          <w:numId w:val="12"/>
        </w:numPr>
        <w:rPr/>
      </w:pPr>
      <w:r>
        <w:rPr/>
        <w:t xml:space="preserve">enter into any transaction reasonably likely to delay or adversely affect the ability to obtain required shareholder and governmental approvals </w:t>
      </w:r>
      <w:r>
        <w:rPr>
          <w:b/>
          <w:bCs/>
        </w:rPr>
        <w:t>[Sec. 7.1(o)]</w:t>
      </w:r>
    </w:p>
    <w:p>
      <w:pPr>
        <w:pStyle w:val="VEBodyTextFLI"/>
        <w:keepNext w:val="true"/>
        <w:numPr>
          <w:ilvl w:val="0"/>
          <w:numId w:val="12"/>
        </w:numPr>
        <w:rPr/>
      </w:pPr>
      <w:r>
        <w:rPr/>
        <w:t xml:space="preserve">terminate, amend or waive standstill agreements </w:t>
      </w:r>
      <w:r>
        <w:rPr>
          <w:b/>
          <w:bCs/>
        </w:rPr>
        <w:t>[Sec. 7.1(p)]</w:t>
      </w:r>
    </w:p>
    <w:p>
      <w:pPr>
        <w:pStyle w:val="VEBodyTextFLI"/>
        <w:keepNext w:val="true"/>
        <w:numPr>
          <w:ilvl w:val="0"/>
          <w:numId w:val="7"/>
        </w:numPr>
        <w:rPr>
          <w:i/>
          <w:i/>
          <w:iCs/>
        </w:rPr>
      </w:pPr>
      <w:r>
        <w:rPr>
          <w:i/>
          <w:iCs/>
        </w:rPr>
        <w:t>Neither Enron nor any of its Subsidiaries (i.e., entities 50% owned or controlled) shall:</w:t>
      </w:r>
    </w:p>
    <w:p>
      <w:pPr>
        <w:pStyle w:val="VEBodyTextFLI"/>
        <w:keepNext w:val="true"/>
        <w:numPr>
          <w:ilvl w:val="0"/>
          <w:numId w:val="10"/>
        </w:numPr>
        <w:rPr/>
      </w:pPr>
      <w:r>
        <w:rPr/>
        <w:t xml:space="preserve">(i)  Issue or sell shares of capital stock in excess of $2.0 billion in the aggregate, (ii) grant options, warrants or conversion rights to acquire capital stock, (iii) modify such options, warrants or conversion rights, (iv) increase compensation or benefits or enter into employment or consulting agreements, except in the ordinary course of business, (v) adopt new employee benefit plans or amend such plans in any material respect, except in the ordinary course of business, or (vi) permit optionholders to acquire shares of Enron common stock to have shares withheld upon exercise in excess of shares needed to meet minimum statutory tax withholding requirements </w:t>
      </w:r>
      <w:r>
        <w:rPr>
          <w:b/>
          <w:bCs/>
        </w:rPr>
        <w:t>[Sec. 7.1(f)]</w:t>
      </w:r>
    </w:p>
    <w:p>
      <w:pPr>
        <w:pStyle w:val="VEBodyTextFLI"/>
        <w:keepNext w:val="true"/>
        <w:numPr>
          <w:ilvl w:val="0"/>
          <w:numId w:val="10"/>
        </w:numPr>
        <w:rPr/>
      </w:pPr>
      <w:r>
        <w:rPr/>
        <w:t xml:space="preserve">declare or pay dividends or redeem shares, other than dividends on stated Enron capital shares at specified rates </w:t>
      </w:r>
      <w:r>
        <w:rPr>
          <w:b/>
          <w:bCs/>
        </w:rPr>
        <w:t>[Sec. 7.1(h)]</w:t>
      </w:r>
    </w:p>
    <w:p>
      <w:pPr>
        <w:pStyle w:val="VEBodyTextFLI"/>
        <w:keepNext w:val="true"/>
        <w:numPr>
          <w:ilvl w:val="0"/>
          <w:numId w:val="10"/>
        </w:numPr>
        <w:rPr/>
      </w:pPr>
      <w:r>
        <w:rPr/>
        <w:t xml:space="preserve">sell, lease or dispose of assets material as a whole, except sales of surplus or obsolete equipment and transfers among Enron and its Subsidiaries </w:t>
      </w:r>
      <w:r>
        <w:rPr>
          <w:b/>
          <w:bCs/>
        </w:rPr>
        <w:t>[Sec. 7.1(i)]</w:t>
      </w:r>
    </w:p>
    <w:p>
      <w:pPr>
        <w:pStyle w:val="VEBodyTextFLI"/>
        <w:keepNext w:val="true"/>
        <w:numPr>
          <w:ilvl w:val="0"/>
          <w:numId w:val="10"/>
        </w:numPr>
        <w:rPr/>
      </w:pPr>
      <w:r>
        <w:rPr/>
        <w:t xml:space="preserve">acquire or agree to acquire by merger, consolidation or purchase of an equity interest in any business organization or a substantial portion of its assets, for (i) an aggregate consideration greater than $50 million, or (ii) where an HSR filing or similar foreign premerger notification is required </w:t>
      </w:r>
      <w:r>
        <w:rPr>
          <w:b/>
          <w:bCs/>
        </w:rPr>
        <w:t>[Sec. 7.1(j)]</w:t>
      </w:r>
    </w:p>
    <w:p>
      <w:pPr>
        <w:pStyle w:val="VEBodyTextFLI"/>
        <w:keepNext w:val="true"/>
        <w:numPr>
          <w:ilvl w:val="0"/>
          <w:numId w:val="10"/>
        </w:numPr>
        <w:rPr/>
      </w:pPr>
      <w:r>
        <w:rPr/>
        <w:t xml:space="preserve">(i) make or rescind material tax elections, (ii) settleor compromise material tax claims, or (iii) materially change its tax reporting methods </w:t>
      </w:r>
      <w:r>
        <w:rPr>
          <w:b/>
          <w:bCs/>
        </w:rPr>
        <w:t>[Sec. 7.1(m)]</w:t>
      </w:r>
    </w:p>
    <w:p>
      <w:pPr>
        <w:pStyle w:val="VEBodyTextFLI"/>
        <w:keepNext w:val="true"/>
        <w:numPr>
          <w:ilvl w:val="0"/>
          <w:numId w:val="10"/>
        </w:numPr>
        <w:rPr/>
      </w:pPr>
      <w:r>
        <w:rPr/>
        <w:t>(i) incur or guarantee Debt in excess of $1 billion over disclosed amounts, (ii) enter into material leases or create Liens (other than Permitted Liens), or (iii) make or commit to make capital expenditures which exceed Enron’s capital expenditure forecast by 20% in any quarter [</w:t>
      </w:r>
      <w:r>
        <w:rPr>
          <w:b/>
          <w:bCs/>
        </w:rPr>
        <w:t>Sec. 7.1(n)]</w:t>
      </w:r>
    </w:p>
    <w:p>
      <w:pPr>
        <w:pStyle w:val="VEBodyTextFLI"/>
        <w:keepNext w:val="true"/>
        <w:ind w:hanging="0" w:start="1800" w:end="0"/>
        <w:rPr/>
      </w:pPr>
      <w:r>
        <w:rPr/>
        <w:t>--  “Debt” means:</w:t>
      </w:r>
    </w:p>
    <w:p>
      <w:pPr>
        <w:pStyle w:val="VEBodyTextFLI"/>
        <w:keepNext w:val="true"/>
        <w:numPr>
          <w:ilvl w:val="2"/>
          <w:numId w:val="7"/>
        </w:numPr>
        <w:rPr/>
      </w:pPr>
      <w:r>
        <w:rPr/>
        <w:t>obligations for money borrowed</w:t>
      </w:r>
    </w:p>
    <w:p>
      <w:pPr>
        <w:pStyle w:val="VEBodyTextFLI"/>
        <w:keepNext w:val="true"/>
        <w:numPr>
          <w:ilvl w:val="2"/>
          <w:numId w:val="7"/>
        </w:numPr>
        <w:rPr/>
      </w:pPr>
      <w:r>
        <w:rPr/>
        <w:t>obligations evidenced by bonds, debentures, notes or similar instruments</w:t>
      </w:r>
    </w:p>
    <w:p>
      <w:pPr>
        <w:pStyle w:val="VEBodyTextFLI"/>
        <w:keepNext w:val="true"/>
        <w:numPr>
          <w:ilvl w:val="2"/>
          <w:numId w:val="7"/>
        </w:numPr>
        <w:rPr/>
      </w:pPr>
      <w:r>
        <w:rPr/>
        <w:t>obligations to pay the deferred purchase price of property or services</w:t>
      </w:r>
    </w:p>
    <w:p>
      <w:pPr>
        <w:pStyle w:val="VEBodyTextFLI"/>
        <w:keepNext w:val="true"/>
        <w:numPr>
          <w:ilvl w:val="2"/>
          <w:numId w:val="7"/>
        </w:numPr>
        <w:rPr/>
      </w:pPr>
      <w:r>
        <w:rPr/>
        <w:t>capitalized lease obligations</w:t>
      </w:r>
    </w:p>
    <w:p>
      <w:pPr>
        <w:pStyle w:val="VEBodyTextFLI"/>
        <w:keepNext w:val="true"/>
        <w:numPr>
          <w:ilvl w:val="2"/>
          <w:numId w:val="7"/>
        </w:numPr>
        <w:rPr/>
      </w:pPr>
      <w:r>
        <w:rPr/>
        <w:t>obligations or liabilities of others secured by a lien on Enron’s or its Subsidiaries’ assets</w:t>
      </w:r>
    </w:p>
    <w:p>
      <w:pPr>
        <w:pStyle w:val="VEBodyTextFLI"/>
        <w:keepNext w:val="true"/>
        <w:numPr>
          <w:ilvl w:val="2"/>
          <w:numId w:val="7"/>
        </w:numPr>
        <w:rPr/>
      </w:pPr>
      <w:r>
        <w:rPr/>
        <w:t>Contingent Obligations</w:t>
      </w:r>
    </w:p>
    <w:p>
      <w:pPr>
        <w:pStyle w:val="VEBodyTextFLI"/>
        <w:keepNext w:val="true"/>
        <w:numPr>
          <w:ilvl w:val="2"/>
          <w:numId w:val="7"/>
        </w:numPr>
        <w:rPr/>
      </w:pPr>
      <w:r>
        <w:rPr/>
        <w:t>Obligations or liabilities required by GAAP to be shown as “debt” on its balance sheet</w:t>
      </w:r>
    </w:p>
    <w:p>
      <w:pPr>
        <w:pStyle w:val="VEBodyTextFLI"/>
        <w:keepNext w:val="true"/>
        <w:ind w:firstLine="1800" w:end="0"/>
        <w:rPr/>
      </w:pPr>
      <w:r>
        <w:rPr/>
        <w:t>--  “Contingent Obligation” means:</w:t>
      </w:r>
    </w:p>
    <w:p>
      <w:pPr>
        <w:pStyle w:val="VEBodyTextFLI"/>
        <w:keepNext w:val="true"/>
        <w:ind w:hanging="0" w:start="2340" w:end="0"/>
        <w:rPr/>
      </w:pPr>
      <w:r>
        <w:rPr/>
        <w:t>any liability with respect to any indebtedness, lease, dividend, letter of credit or similar obligation of another</w:t>
      </w:r>
    </w:p>
    <w:p>
      <w:pPr>
        <w:pStyle w:val="VEBodyTextFLI"/>
        <w:keepNext w:val="true"/>
        <w:ind w:firstLine="540" w:start="2340" w:end="0"/>
        <w:rPr>
          <w:i/>
          <w:i/>
          <w:iCs/>
        </w:rPr>
      </w:pPr>
      <w:r>
        <w:rPr>
          <w:i/>
          <w:iCs/>
        </w:rPr>
        <w:t>including:</w:t>
      </w:r>
    </w:p>
    <w:p>
      <w:pPr>
        <w:pStyle w:val="VEBodyTextFLI"/>
        <w:keepNext w:val="true"/>
        <w:numPr>
          <w:ilvl w:val="0"/>
          <w:numId w:val="9"/>
        </w:numPr>
        <w:rPr/>
      </w:pPr>
      <w:r>
        <w:rPr/>
        <w:t>obligations guaranteed, endorsed (other than for collection or deposit in the ordinary course), co-made, discounted or sold with recourse</w:t>
      </w:r>
    </w:p>
    <w:p>
      <w:pPr>
        <w:pStyle w:val="VEBodyTextFLI"/>
        <w:keepNext w:val="true"/>
        <w:numPr>
          <w:ilvl w:val="0"/>
          <w:numId w:val="9"/>
        </w:numPr>
        <w:rPr/>
      </w:pPr>
      <w:r>
        <w:rPr/>
        <w:t>obligations pursuant to agreements to purchase, repurchase or otherwise acquire such obligation or security therefor</w:t>
      </w:r>
    </w:p>
    <w:p>
      <w:pPr>
        <w:pStyle w:val="VEBodyTextFLI"/>
        <w:keepNext w:val="true"/>
        <w:numPr>
          <w:ilvl w:val="0"/>
          <w:numId w:val="9"/>
        </w:numPr>
        <w:rPr/>
      </w:pPr>
      <w:r>
        <w:rPr/>
        <w:t>obligations pursuant to agreements to provide funds for payment or discharge of such obligation</w:t>
      </w:r>
    </w:p>
    <w:p>
      <w:pPr>
        <w:pStyle w:val="VEBodyTextFLI"/>
        <w:keepNext w:val="true"/>
        <w:numPr>
          <w:ilvl w:val="0"/>
          <w:numId w:val="9"/>
        </w:numPr>
        <w:rPr/>
      </w:pPr>
      <w:r>
        <w:rPr/>
        <w:t>obligations pursuant to agreements to maintain solvency or balance sheet, income or financial condition of the obligor of such obligations</w:t>
      </w:r>
    </w:p>
    <w:p>
      <w:pPr>
        <w:pStyle w:val="VEBodyTextFLI"/>
        <w:keepNext w:val="true"/>
        <w:numPr>
          <w:ilvl w:val="0"/>
          <w:numId w:val="9"/>
        </w:numPr>
        <w:tabs>
          <w:tab w:val="clear" w:pos="720"/>
          <w:tab w:val="left" w:pos="1080" w:leader="none"/>
          <w:tab w:val="left" w:pos="1440" w:leader="none"/>
        </w:tabs>
        <w:rPr/>
      </w:pPr>
      <w:r>
        <w:rPr/>
        <w:t xml:space="preserve">obligations pursuant to agreements to make payment for products, materials or supplies or for any transportation, services or lease </w:t>
      </w:r>
    </w:p>
    <w:p>
      <w:pPr>
        <w:pStyle w:val="VEBodyTextFLI"/>
        <w:keepNext w:val="true"/>
        <w:numPr>
          <w:ilvl w:val="0"/>
          <w:numId w:val="10"/>
        </w:numPr>
        <w:rPr/>
      </w:pPr>
      <w:r>
        <w:rPr/>
        <w:t xml:space="preserve">make any increase in its risk control limits or value at risk limits for its trading or other activities </w:t>
      </w:r>
      <w:r>
        <w:rPr>
          <w:b/>
          <w:bCs/>
        </w:rPr>
        <w:t>[Sec. 7.1(q)]</w:t>
      </w:r>
    </w:p>
    <w:p>
      <w:pPr>
        <w:pStyle w:val="VEBodyTextFLI"/>
        <w:keepNext w:val="true"/>
        <w:numPr>
          <w:ilvl w:val="0"/>
          <w:numId w:val="10"/>
        </w:numPr>
        <w:rPr/>
      </w:pPr>
      <w:r>
        <w:rPr/>
        <w:t xml:space="preserve">agree in writing or take any action contemplated in Sec. 7.1 </w:t>
      </w:r>
      <w:r>
        <w:rPr>
          <w:b/>
          <w:bCs/>
        </w:rPr>
        <w:t>[Sec. 7.1(r)]</w:t>
      </w:r>
    </w:p>
    <w:p>
      <w:pPr>
        <w:pStyle w:val="VEBodyTextFLI"/>
        <w:keepNext w:val="true"/>
        <w:ind w:hanging="0" w:end="0"/>
        <w:rPr>
          <w:u w:val="single"/>
        </w:rPr>
      </w:pPr>
      <w:r>
        <w:rPr>
          <w:u w:val="single"/>
        </w:rPr>
        <w:t>Affirmative Covenants</w:t>
      </w:r>
    </w:p>
    <w:p>
      <w:pPr>
        <w:pStyle w:val="VEBodyTextFLI"/>
        <w:keepNext w:val="true"/>
        <w:numPr>
          <w:ilvl w:val="0"/>
          <w:numId w:val="2"/>
        </w:numPr>
        <w:rPr>
          <w:i/>
          <w:i/>
          <w:iCs/>
        </w:rPr>
      </w:pPr>
      <w:r>
        <w:rPr>
          <w:i/>
          <w:iCs/>
        </w:rPr>
        <w:t>Enron shall:</w:t>
      </w:r>
    </w:p>
    <w:p>
      <w:pPr>
        <w:pStyle w:val="VEBodyTextFLI"/>
        <w:keepNext w:val="true"/>
        <w:numPr>
          <w:ilvl w:val="0"/>
          <w:numId w:val="10"/>
        </w:numPr>
        <w:rPr>
          <w:i/>
          <w:i/>
          <w:iCs/>
        </w:rPr>
      </w:pPr>
      <w:r>
        <w:rPr/>
        <w:t xml:space="preserve">notify Dynegy of (i) any material adverse changes in its condition or business, (ii) termination, cancellation, repudiation or material breach of any material contract, (iii) institution of any material litigation, arbitration or other proceedings or material government complaints, investigations, inquiries or hearings, or (iv) the material breach in any Merger Agreement representation or warranty </w:t>
      </w:r>
      <w:r>
        <w:rPr>
          <w:b/>
          <w:bCs/>
        </w:rPr>
        <w:t>[Sec. 7.1(d)]</w:t>
      </w:r>
    </w:p>
    <w:p>
      <w:pPr>
        <w:pStyle w:val="VEBodyTextFLI"/>
        <w:keepNext w:val="true"/>
        <w:numPr>
          <w:ilvl w:val="0"/>
          <w:numId w:val="10"/>
        </w:numPr>
        <w:rPr>
          <w:i/>
          <w:i/>
          <w:iCs/>
        </w:rPr>
      </w:pPr>
      <w:r>
        <w:rPr/>
        <w:t xml:space="preserve">promptly make available any reports, statements or schedules filed with the SEC </w:t>
      </w:r>
      <w:r>
        <w:rPr>
          <w:b/>
          <w:bCs/>
        </w:rPr>
        <w:t>[Sec. 7.1(e)]</w:t>
      </w:r>
    </w:p>
    <w:p>
      <w:pPr>
        <w:pStyle w:val="VEBodyTextFLI"/>
        <w:keepNext w:val="true"/>
        <w:numPr>
          <w:ilvl w:val="0"/>
          <w:numId w:val="2"/>
        </w:numPr>
        <w:rPr>
          <w:i/>
          <w:i/>
          <w:iCs/>
        </w:rPr>
      </w:pPr>
      <w:r>
        <w:rPr>
          <w:i/>
          <w:iCs/>
        </w:rPr>
        <w:t>Enron and each of its Subsidiaries shall:</w:t>
      </w:r>
    </w:p>
    <w:p>
      <w:pPr>
        <w:pStyle w:val="VEBodyTextFLI"/>
        <w:keepNext w:val="true"/>
        <w:numPr>
          <w:ilvl w:val="0"/>
          <w:numId w:val="11"/>
        </w:numPr>
        <w:rPr>
          <w:i/>
          <w:i/>
          <w:iCs/>
        </w:rPr>
      </w:pPr>
      <w:r>
        <w:rPr/>
        <w:t xml:space="preserve">conduct its operations in their usual, regular and ordinary course </w:t>
      </w:r>
      <w:r>
        <w:rPr>
          <w:b/>
          <w:bCs/>
        </w:rPr>
        <w:t>[Sec. 7.1(a)]</w:t>
      </w:r>
    </w:p>
    <w:p>
      <w:pPr>
        <w:pStyle w:val="VEBodyTextFLI"/>
        <w:keepNext w:val="true"/>
        <w:numPr>
          <w:ilvl w:val="0"/>
          <w:numId w:val="11"/>
        </w:numPr>
        <w:rPr>
          <w:i/>
          <w:i/>
          <w:iCs/>
        </w:rPr>
      </w:pPr>
      <w:r>
        <w:rPr/>
        <w:t xml:space="preserve">use commercially reasonable best efforts to (i) preserve intact their business organizations and goodwill, (ii) keep available the services of its officers and employees, and (iii) maintain satisfactory relationships with business counterparties </w:t>
      </w:r>
      <w:r>
        <w:rPr>
          <w:b/>
          <w:bCs/>
        </w:rPr>
        <w:t>[Sec. 7.1(b)]</w:t>
      </w:r>
    </w:p>
    <w:p>
      <w:pPr>
        <w:pStyle w:val="VEBodyTextFLI"/>
        <w:keepNext w:val="true"/>
        <w:numPr>
          <w:ilvl w:val="0"/>
          <w:numId w:val="11"/>
        </w:numPr>
        <w:rPr>
          <w:i/>
          <w:i/>
          <w:iCs/>
        </w:rPr>
      </w:pPr>
      <w:r>
        <w:rPr/>
        <w:t xml:space="preserve">use commercially reasonable best efforts to maintain insurance with financially responsible insurance companies </w:t>
      </w:r>
      <w:r>
        <w:rPr>
          <w:b/>
          <w:bCs/>
        </w:rPr>
        <w:t>[Sec. 7.1(l)]</w:t>
      </w:r>
    </w:p>
    <w:p>
      <w:pPr>
        <w:pStyle w:val="VEBodyTextFLI"/>
        <w:keepNext w:val="true"/>
        <w:ind w:hanging="0" w:end="0"/>
        <w:rPr>
          <w:i/>
          <w:i/>
          <w:iCs/>
        </w:rPr>
      </w:pPr>
      <w:r>
        <w:rPr>
          <w:i/>
          <w:iCs/>
        </w:rPr>
      </w:r>
    </w:p>
    <w:p>
      <w:pPr>
        <w:pStyle w:val="VEBodyTextFLI"/>
        <w:keepNext w:val="true"/>
        <w:ind w:hanging="0" w:end="0"/>
        <w:rPr>
          <w:b/>
          <w:bCs/>
        </w:rPr>
      </w:pPr>
      <w:r>
        <w:rPr>
          <w:b/>
          <w:bCs/>
        </w:rPr>
        <w:t>Enron Disclosure Letter</w:t>
      </w:r>
    </w:p>
    <w:p>
      <w:pPr>
        <w:pStyle w:val="VEBodyTextFLI"/>
        <w:rPr/>
      </w:pPr>
      <w:r>
        <w:rPr/>
        <w:t>The Merger Agreement provides that Enron may take certain actions set forth on the Enron Disclosure Letter, including the following actions of general application:</w:t>
      </w:r>
    </w:p>
    <w:p>
      <w:pPr>
        <w:pStyle w:val="VEBodyTextFLI"/>
        <w:ind w:hanging="720" w:start="1440" w:end="0"/>
        <w:rPr/>
      </w:pPr>
      <w:r>
        <w:rPr>
          <w:rFonts w:eastAsia="Symbol" w:cs="Symbol" w:ascii="Symbol" w:hAnsi="Symbol"/>
        </w:rPr>
        <w:sym w:font="Symbol" w:char="f0b7"/>
      </w:r>
      <w:r>
        <w:rPr/>
        <w:tab/>
        <w:t>Enron or its Subsidiaries may sell certain assets or Subsidiaries or interests in them, including among others, a</w:t>
      </w:r>
      <w:r>
        <w:rPr>
          <w:color w:val="000000"/>
        </w:rPr>
        <w:t>ny assets outside the United States, Europe and Canada</w:t>
      </w:r>
      <w:r>
        <w:rPr/>
        <w:t xml:space="preserve"> and may provide indemnities and guarantees in accordance with past practices on asset sales in connection with those sales;</w:t>
      </w:r>
    </w:p>
    <w:p>
      <w:pPr>
        <w:pStyle w:val="VEBodyTextFLI"/>
        <w:ind w:hanging="720" w:start="1440" w:end="0"/>
        <w:rPr/>
      </w:pPr>
      <w:r>
        <w:rPr>
          <w:rFonts w:eastAsia="Symbol" w:cs="Symbol" w:ascii="Symbol" w:hAnsi="Symbol"/>
        </w:rPr>
        <w:sym w:font="Symbol" w:char="f0b7"/>
      </w:r>
      <w:r>
        <w:rPr/>
        <w:tab/>
        <w:t>Enron at any time may change policies or procedures to comply with generally accepted accounting principles, but any such change may not change Enron’s representations and warranties in Section 5.7 of the Merger Agreement;</w:t>
      </w:r>
    </w:p>
    <w:p>
      <w:pPr>
        <w:pStyle w:val="VEBodyTextFLI"/>
        <w:ind w:hanging="720" w:start="1440" w:end="0"/>
        <w:rPr/>
      </w:pPr>
      <w:r>
        <w:rPr>
          <w:rFonts w:eastAsia="Symbol" w:cs="Symbol" w:ascii="Symbol" w:hAnsi="Symbol"/>
        </w:rPr>
        <w:sym w:font="Symbol" w:char="f0b7"/>
      </w:r>
      <w:r>
        <w:rPr/>
        <w:tab/>
        <w:t>Enron may settle certain specified forward contracts;</w:t>
      </w:r>
    </w:p>
    <w:p>
      <w:pPr>
        <w:pStyle w:val="VEBodyTextFLI"/>
        <w:ind w:hanging="720" w:start="1440" w:end="0"/>
        <w:rPr/>
      </w:pPr>
      <w:r>
        <w:rPr>
          <w:rFonts w:eastAsia="Symbol" w:cs="Symbol" w:ascii="Symbol" w:hAnsi="Symbol"/>
        </w:rPr>
        <w:sym w:font="Symbol" w:char="f0b7"/>
      </w:r>
      <w:r>
        <w:rPr/>
        <w:tab/>
        <w:t>Enron may enter into master netting agreements secured by receivables;</w:t>
      </w:r>
    </w:p>
    <w:p>
      <w:pPr>
        <w:pStyle w:val="VEBodyTextFLI"/>
        <w:ind w:hanging="720" w:start="1440" w:end="0"/>
        <w:rPr/>
      </w:pPr>
      <w:r>
        <w:rPr>
          <w:rFonts w:eastAsia="Symbol" w:cs="Symbol" w:ascii="Symbol" w:hAnsi="Symbol"/>
        </w:rPr>
        <w:sym w:font="Symbol" w:char="f0b7"/>
      </w:r>
      <w:r>
        <w:rPr/>
        <w:tab/>
        <w:t>Enron and its Subsidiaries may discontinue particular product lines or businesses when prudent in Enron’s good-faith judgment;</w:t>
      </w:r>
    </w:p>
    <w:p>
      <w:pPr>
        <w:pStyle w:val="VEBodyTextFLI"/>
        <w:ind w:hanging="720" w:start="1440" w:end="0"/>
        <w:rPr/>
      </w:pPr>
      <w:r>
        <w:rPr>
          <w:rFonts w:eastAsia="Symbol" w:cs="Symbol" w:ascii="Symbol" w:hAnsi="Symbol"/>
        </w:rPr>
        <w:sym w:font="Symbol" w:char="f0b7"/>
      </w:r>
      <w:r>
        <w:rPr/>
        <w:tab/>
        <w:t>Enron and its Subsidiaries may incur Liens on their assets in connection with the incurrence of Debt as otherwise permitted by the Merger Agreement and the Enron Disclosure Letter.</w:t>
      </w:r>
    </w:p>
    <w:p>
      <w:pPr>
        <w:pStyle w:val="VEBodyTextFLI"/>
        <w:ind w:hanging="0" w:end="0"/>
        <w:rPr>
          <w:color w:val="000000"/>
        </w:rPr>
      </w:pPr>
      <w:r>
        <w:rPr>
          <w:color w:val="000000"/>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VEBodyTextFLI"/>
        <w:rPr>
          <w:color w:val="000000"/>
        </w:rPr>
      </w:pPr>
      <w:r>
        <w:rPr>
          <w:color w:val="000000"/>
        </w:rPr>
      </w:r>
    </w:p>
    <w:p>
      <w:pPr>
        <w:pStyle w:val="VEBodyTextFLI"/>
        <w:jc w:val="center"/>
        <w:rPr/>
      </w:pPr>
      <w:r>
        <w:rPr>
          <w:rStyle w:val="VEBoldUnderline"/>
        </w:rPr>
        <w:t>EXHIBIT A</w:t>
      </w:r>
    </w:p>
    <w:p>
      <w:pPr>
        <w:pStyle w:val="VEBodyTextFLI"/>
        <w:rPr/>
      </w:pPr>
      <w:r>
        <w:rPr/>
        <w:t>Section 7.1</w:t>
        <w:tab/>
      </w:r>
      <w:r>
        <w:rPr>
          <w:rStyle w:val="VEItalic"/>
        </w:rPr>
        <w:t>Conduct of Business</w:t>
      </w:r>
      <w:r>
        <w:rPr/>
        <w:t>.  From and after the date hereof and prior to the Effective Time, except as set forth in the Dynegy Disclosure Letter or the Enron Disclosure Letter or as expressly contemplated by any other provision of this Agreement or (</w:t>
      </w:r>
      <w:r>
        <w:rPr>
          <w:i/>
        </w:rPr>
        <w:t>provided</w:t>
      </w:r>
      <w:r>
        <w:rPr/>
        <w:t xml:space="preserve"> that the party proposing to take such action has provided the other party with advance notice of the proposed action to the extent practicable) as required by Applicable Laws, unless the other party has consented in writing thereto (which, in the case of Section 7.1(m), shall not be unreasonably withheld), each of Dynegy and Enron:</w:t>
      </w:r>
    </w:p>
    <w:p>
      <w:pPr>
        <w:pStyle w:val="Heading3"/>
        <w:ind w:hanging="0" w:start="0"/>
        <w:rPr/>
      </w:pPr>
      <w:r>
        <w:rPr/>
        <w:t xml:space="preserve">shall, and shall cause each of its Subsidiaries to, conduct its operations according to their usual, regular and ordinary course in substantially the same manner as heretofore conducted; </w:t>
      </w:r>
      <w:r>
        <w:rPr>
          <w:i/>
        </w:rPr>
        <w:t>provided, however</w:t>
      </w:r>
      <w:r>
        <w:rPr/>
        <w:t>, that this subsection (a) shall not prevent a party from introducing, or permitting its Subsidiaries from introducing, new products and services related to the business and operations heretofore conducted by them;</w:t>
      </w:r>
    </w:p>
    <w:p>
      <w:pPr>
        <w:pStyle w:val="Heading3"/>
        <w:ind w:hanging="0" w:start="0"/>
        <w:rPr/>
      </w:pPr>
      <w:r>
        <w:rPr/>
        <w:t xml:space="preserve">shall use its commercially reasonable best efforts, and shall cause each of its Subsidiaries to use its commercially reasonable best efforts, to preserve intact their business organizations and goodwill (except that any of its Subsidiaries may be merged with or into, or be consolidated with, any of its Subsidiaries or may be liquidated into it or any of its Subsidiaries), keep available the services of their respective officers and employees and maintain satisfactory relationships with those persons having business relationships with them; </w:t>
      </w:r>
    </w:p>
    <w:p>
      <w:pPr>
        <w:pStyle w:val="Heading3"/>
        <w:ind w:hanging="0" w:start="0"/>
        <w:rPr/>
      </w:pPr>
      <w:r>
        <w:rPr/>
        <w:t>shall not amend its articles of incorporation or bylaws, except that Enron may amend its articles of incorporation to increase its authorized Enron Common Stock by not more than 500 million shares;</w:t>
      </w:r>
    </w:p>
    <w:p>
      <w:pPr>
        <w:pStyle w:val="Heading3"/>
        <w:ind w:hanging="0" w:start="0"/>
        <w:rPr/>
      </w:pPr>
      <w:r>
        <w:rPr/>
        <w:t>shall promptly notify the other of any material adverse change in its condition (financial or otherwise) or business or any termination, cancellation, repudiation or material breach of any material contract (or communications expressly indicating that the same may be contemplated) or the institution of any material litigation or proceedings (including arbitration and other dispute resolution proceedings) or material governmental complaints, investigations, inquiries or hearings (or communi</w:t>
        <w:softHyphen/>
        <w:t>cations indicating that the same may be contemplated) or the breach in any material respect of any representation or warranty contained herein;</w:t>
      </w:r>
    </w:p>
    <w:p>
      <w:pPr>
        <w:pStyle w:val="Heading3"/>
        <w:ind w:hanging="0" w:start="0"/>
        <w:rPr/>
      </w:pPr>
      <w:r>
        <w:rPr/>
        <w:t>shall promptly make available (in paper form or via the internet) to the other true and correct copies of any report, statement or schedule filed with the SEC subsequent to the date of this Agreement;</w:t>
      </w:r>
    </w:p>
    <w:p>
      <w:pPr>
        <w:pStyle w:val="Heading3"/>
        <w:ind w:hanging="0" w:start="0"/>
        <w:rPr/>
      </w:pPr>
      <w:r>
        <w:rPr/>
        <w:t>in the case of Enron, shall not, and shall not permit any of its Subsidiaries to, (i) except (A) pursuant to the exercise of options, warrants, conversion rights and other contractual rights existing on the date hereof and disclosed pursuant to this Agreement or not required to be disclosed pursuant to this Agreement or (B) pursuant to the exercise of awards granted after the date hereof and expressly permitted under this Agreement or in connection with transactions permitted by Section 7.1(j), issue or sell any shares of its capital stock in excess of $2.0 billion in the aggregate (or such larger amount as (x) Enron may propose in order to prevent a downgrading of Enron’s senior debt to less than investment grade by Standard &amp; Poor’s Ratings Services, a division of the McGraw-Hill Companies, Inc., by Moody’s Investors Service, Inc. or by Fitch, Inc. that shall not affect the intended accounting treatment set forth in the recitals to this Agreement and (y) Dynegy consents to in writing, which consent shall not be unreasonably withheld) for all such issuances and sales (and provided that any such shares must be converted into Enron Common Stock prior to the Mergers if the Mergers are to occur), effect any stock split or otherwise change its capitalization as it existed on the date hereof, (ii) grant, confer or award any option, warrant, conversion right or other right not existing on the date hereof to acquire any shares of its capital stock, (iii) amend or otherwise modify any option, warrant, conversion right or other right to acquire any shares of its capital stock existing on the date hereof, (iv) with respect to any of its former or present employees (including officers and directors), increase any compensation or benefits, or enter into, amend or extend (or permit the extension of) any employment or consulting agreement, except in each case in the ordinary course of business consistent with past practice, (v) adopt any new employee benefit plan or agreement (including any stock option, stock benefit or stock purchase plan) or amend (except as required by law) any existing employee benefit plan in any material respect, except in the ordinary course of business consistent with past practice, or (vi) permit any holder of an option to acquire shares of Enron Common Stock to have shares withheld upon exercise, for tax purposes, in excess of the number of shares needed to satisfy the minimum statutory withholding requirements for federal and state tax withholding;</w:t>
      </w:r>
    </w:p>
    <w:p>
      <w:pPr>
        <w:pStyle w:val="Heading3"/>
        <w:ind w:hanging="0" w:start="0"/>
        <w:rPr/>
      </w:pPr>
      <w:r>
        <w:rPr/>
        <w:t>in the case of Dynegy, shall not, except pursuant to the exercise of options, warrants, conversion rights and other contractual rights existing on the date hereof and disclosed pursuant to this Agreement or not required to be disclosed pursuant to this Agreement or pursuant to the exercise of awards granted after the date hereof and not prohibited by this Agreement, issue any shares of its capital stock if it is reasonably likely to delay materially or to affect materially and adversely the ability of Dynegy to solicit the approval of its shareholders of this Agreement and the Dynegy Merger or to obtain any consent, authorization, order or approval of any governmental commission, board or other regulatory body or the expiration of any applicable waiting period required to consummate the transactions contemplated by this Agreement;</w:t>
      </w:r>
    </w:p>
    <w:p>
      <w:pPr>
        <w:pStyle w:val="Heading3"/>
        <w:ind w:hanging="0" w:start="0"/>
        <w:rPr/>
      </w:pPr>
      <w:r>
        <w:rPr/>
        <w:t>except for (i) the payment of regular dividends on the shares of Enron Common Stock at a quarterly rate of not more than $0.125 per share, (ii) the payment of dividends on the shares of Enron’s Second Preferred Stock at a quarterly rate of not more than $3.413 per share, on shares of its 9.142% Preferred Stock at an annual rate of not more than $91.420 per share, on shares of its Series B Preferred Stock at an annual rate of 6.5% of the liquidation value thereof, (iii) any additional dividend payments on the Second Preferred Stock, the 9.142% Preferred Stock, the Series B Preferred Stock and the Series C Preferred Stock required by the terms of Enron’s articles of incorporation or statement of resolutions establishing such series of Preferred Stock, and (iv) the payment of regular dividends on the shares of Dynegy Common Stock at a quarterly rate of not more than $0.075 per share, in each case with customary record and payment dates, shall not (1) declare, set aside or pay any dividend or make any other distribution or payment with respect to any shares of its capital stock or (2) redeem, purchase or otherwise acquire any shares of its capital stock or capital stock of any of its Subsidiaries, or make any commitment for any such action;</w:t>
      </w:r>
    </w:p>
    <w:p>
      <w:pPr>
        <w:pStyle w:val="Heading3"/>
        <w:ind w:hanging="0" w:start="0"/>
        <w:rPr/>
      </w:pPr>
      <w:r>
        <w:rPr/>
        <w:t>in the case of Enron, shall not, and shall not permit any of its Subsidiaries to, except for contractual commitments in effect on the date hereof and disclosed in the Enron Disclosure Letter, sell, lease or otherwise dispose of any of its assets (including capital stock of Subsidiaries) that are, individually or in the aggregate, material to it and its Subsidiaries as a whole, except for (i) sales of surplus or obsolete equipment, (ii) sales of other assets in the ordinary course of business, or (iii) sales, leases or other transfers between such party and its wholly owned Subsidiaries or between those Subsidiaries;</w:t>
      </w:r>
    </w:p>
    <w:p>
      <w:pPr>
        <w:pStyle w:val="Heading3"/>
        <w:ind w:hanging="0" w:start="0"/>
        <w:rPr/>
      </w:pPr>
      <w:r>
        <w:rPr/>
        <w:t>in the case of Enron, shall not, and shall not permit any of its Subsidiaries to, except pursuant to contractual commitments in effect on the date hereof and disclosed in the Enron Disclosure Letter, acquire or agree to acquire by merging or consolidating with, or by purchasing an equity interest in or a substantial portion of the assets of, or by any other manner, any business or any corporation, partnership, association or other business organization or division thereof, in each case (i) for an aggregate consideration for all such acquisitions in excess of $50 million (excluding acquisitions approved in writing by both parties) or (ii) where a filing under the HSR Act or any non-U.S. competition, antitrust or premerger notification laws is required;</w:t>
      </w:r>
    </w:p>
    <w:p>
      <w:pPr>
        <w:pStyle w:val="Heading3"/>
        <w:ind w:hanging="0" w:start="0"/>
        <w:rPr/>
      </w:pPr>
      <w:r>
        <w:rPr/>
        <w:t xml:space="preserve">shall not, except as may be required as a result of a change in generally accepted accounting principles, change any of the material accounting principles or practices used by it; </w:t>
      </w:r>
    </w:p>
    <w:p>
      <w:pPr>
        <w:pStyle w:val="Heading3"/>
        <w:ind w:hanging="0" w:start="0"/>
        <w:rPr/>
      </w:pPr>
      <w:r>
        <w:rPr/>
        <w:t>shall, and shall cause any of its Subsidiaries to, use commercially reasonable best efforts to maintain with financially responsible insurance companies insurance in such amounts and against such risks and losses as are customary for such party;</w:t>
      </w:r>
    </w:p>
    <w:p>
      <w:pPr>
        <w:pStyle w:val="Heading3"/>
        <w:ind w:hanging="0" w:start="0"/>
        <w:rPr/>
      </w:pPr>
      <w:r>
        <w:rPr/>
        <w:t>shall not, and shall not permit any of its Subsidiaries to, (i) make or rescind any material election relating to taxes, including elections for any and all joint ventures, partnerships, limited liability companies, working interests or other investments where it has the capacity to make such binding election, other than an initial election for an entity under Treas. Reg. § 301.7701-3, (ii) settle or compromise any material claim, action, suit, litigation, proceeding, arbitration, investigation, audit or controversy relating to taxes, or (iii) change in any material respect any of its methods of reporting any item for tax purposes from those employed in the preparation of its tax returns for the most recent taxable year for which a return has been filed, except as may be required by applicable law;</w:t>
      </w:r>
    </w:p>
    <w:p>
      <w:pPr>
        <w:pStyle w:val="Heading3"/>
        <w:ind w:hanging="0" w:start="0"/>
        <w:rPr/>
      </w:pPr>
      <w:r>
        <w:rPr/>
        <w:t>in the case of Enron, shall not, and shall not permit any of its Subsidiaries to, (i) incur Debt, net of Debt repaid, in an aggregate principal amount in excess of $1 billion over amounts reflected in the Debt schedule included in Section 7.1 of the Enron Disclosure Letter, or guarantee any such Debt or issue or sell any warrants or rights to acquire any of such Debt or guarantee any debt securities of others, (ii) except in the ordinary course of business or with or between its Subsidiaries, enter into any material lease (whether such lease is an operating or capital lease) or create any material mortgages, Liens, security interests or other encumbrances on its property in connection with any indebtedness thereof (other than Permitted Liens) or (iii) make or commit to make capital expenditures that, individually or in the aggregate with all other capital expenditures made in a quarter, exceed the capital expenditures forecast in the Enron Capital Budget for such quarter by more than 20%, excluding capital expenditures to repair damage covered by insurance (</w:t>
      </w:r>
      <w:r>
        <w:rPr>
          <w:i/>
        </w:rPr>
        <w:t>provided</w:t>
      </w:r>
      <w:r>
        <w:rPr/>
        <w:t xml:space="preserve"> that if the Termination Date is extended pursuant to Section 9.2(a), Enron shall submit for Dynegy’s approval, which shall not be unreasonably withheld, a capital budget through the extended Termination Date, and such capital budget, as so approved, shall be substituted for such forecast for periods after December 31, 2002); for the purposes of this Agreement, (x) “Debt” shall mean, with respect to any person, the aggregate amount, without duplication, of (i) all obligations for borrowed money; (ii) all obligations evidenced by bonds, debentures, notes or other similar instruments; (iii) all obligations to pay the deferred purchase price of property or services; (iv) all capitalized lease obligations; (v) all obligations or liabilities of others secured by a lien on any asset owned by such person whether or not such obligation or liability is assumed, to the extent of the lesser of such obligation or liability or the book value of such asset; (vi) all Contingent Obligations of such person; and (vii) any other obligations or liabilities which are required by generally accepted accounting principles to be shown as debt on a balance sheet, and (y) “Contingent Obligation” shall mean, as applied to any person, any direct or indirect liability, contingent or otherwise, of that person with respect to any indebtedness, lease, dividend, letter of credit or other similar obligation of another, including, without limitation, any such obligation directly or indirectly guaranteed, endorsed (other than for collection or deposit in the ordinary course of business), co-made or discounted or sold with recourse by that person, or in respect of which that person is otherwise directly or indirectly liable, including, without limitation, any such obligation for which that person is in effect liable through any agreement (contingent or otherwise) to purchase, repurchase or otherwise acquire such obligation or any security therefor, or to provide funds for the payment or discharge of such obligation (whether in the form of loans, advances, stock purchases, capital contributions or otherwise), or to maintain the solvency or any balance sheet, income or other financial condition of the obligor of such obligation, or to make payment for any products, materials or supplies or for any transportation, services or lease regardless of the nondelivery or nonfurnishing thereof, in any such case if the purpose or intent of such agreement is to provide assurance that such obligation will be paid or discharged, or that any agreements relating thereto will be complied with, or that the holders of such obligation will be protected (in whole or in part) against loss in respect thereof, with the amount of any Contingent Obligation being equal to the amount of the obligation, or portion thereof, so guaranteed or otherwise supported;</w:t>
      </w:r>
    </w:p>
    <w:p>
      <w:pPr>
        <w:pStyle w:val="Heading3"/>
        <w:ind w:hanging="0" w:start="0"/>
        <w:rPr/>
      </w:pPr>
      <w:r>
        <w:rPr/>
        <w:t>shall not enter into any transaction that is reasonably likely to delay materially or to affect materially and adversely the ability of any of the parties hereto to solicit the approval of its shareholders of this Agreement and the applicable Merger or to obtain any consent, authorization, order or approval of any governmental commission, board or other regulatory body or the expiration of any applicable waiting period required to consummate the transactions contemplated by this Agreement;</w:t>
      </w:r>
    </w:p>
    <w:p>
      <w:pPr>
        <w:pStyle w:val="Heading3"/>
        <w:ind w:hanging="0" w:start="0"/>
        <w:rPr/>
      </w:pPr>
      <w:r>
        <w:rPr/>
        <w:t>unless in the good faith opinion of its Board of Directors after consultation with its outside legal counsel the following would be inconsistent with its fiduciary duties, (i) shall not terminate, amend, modify or waive any provision of any agreement containing a standstill covenant to which it is a party and (ii) during such period shall enforce, to the fullest extent permitted under Applicable Law, the provisions of such agreement, including by obtaining injunctions to prevent any breaches of such agreements and to enforce specifically the terms and provisions thereof in any court of the United States of America or any state having jurisdiction;</w:t>
      </w:r>
    </w:p>
    <w:p>
      <w:pPr>
        <w:pStyle w:val="Heading3"/>
        <w:ind w:hanging="0" w:start="0"/>
        <w:rPr/>
      </w:pPr>
      <w:r>
        <w:rPr/>
        <w:t xml:space="preserve">in the case of Enron, shall not, and shall cause its Subsidiaries not to, make any increase in its risk control limits or value at risk limits for its trading or other activities above those in effect on the date hereof as established by Enron’s Board of Directors; and </w:t>
      </w:r>
    </w:p>
    <w:p>
      <w:pPr>
        <w:pStyle w:val="Heading3"/>
        <w:ind w:hanging="0" w:start="0"/>
        <w:rPr/>
      </w:pPr>
      <w:r>
        <w:rPr/>
        <w:t>shall not (i) agree in writing or otherwise to take any of the foregoing actions or (ii) permit any of its Subsidiaries to agree in writing or otherwise to take any of the foregoing actions that refer to Subsidiaries.</w:t>
      </w:r>
    </w:p>
    <w:p>
      <w:pPr>
        <w:pStyle w:val="VEBodyTextFLI"/>
        <w:rPr/>
      </w:pPr>
      <w:r>
        <w:rPr/>
        <w:t>As used in this Exhibit A, the following capitalized terms have the meanings set forth below:</w:t>
      </w:r>
    </w:p>
    <w:p>
      <w:pPr>
        <w:pStyle w:val="VEBodyTextLeftIndent5"/>
        <w:ind w:firstLine="720" w:end="0"/>
        <w:rPr/>
      </w:pPr>
      <w:r>
        <w:rPr/>
        <w:t>“</w:t>
      </w:r>
      <w:r>
        <w:rPr/>
        <w:t>9.142% Preferred Stock” means the 9.142% Perpetual Second Preferred Stock of Enron.</w:t>
      </w:r>
    </w:p>
    <w:p>
      <w:pPr>
        <w:pStyle w:val="VEBodyTextLeftIndent5"/>
        <w:ind w:firstLine="720" w:end="0"/>
        <w:rPr/>
      </w:pPr>
      <w:r>
        <w:rPr/>
        <w:t>“</w:t>
      </w:r>
      <w:r>
        <w:rPr/>
        <w:t>Agreement” means that certain Merger Agreement dated as of November 9, 2001, by and among Dynegy, Newco, Enron Merger Sub, Dynegy Merger Sub and Enron.</w:t>
      </w:r>
    </w:p>
    <w:p>
      <w:pPr>
        <w:pStyle w:val="VEBodyTextLeftIndent5"/>
        <w:ind w:firstLine="720" w:end="0"/>
        <w:rPr/>
      </w:pPr>
      <w:r>
        <w:rPr/>
        <w:t>“</w:t>
      </w:r>
      <w:r>
        <w:rPr/>
        <w:t>Applicable Laws” means any applicable law, rule, regulation, code, govern</w:t>
        <w:softHyphen/>
        <w:t>mental determination, order, treaty, convention, governmental certification requirement or other public limitation, U.S. or non-U.S.</w:t>
      </w:r>
    </w:p>
    <w:p>
      <w:pPr>
        <w:pStyle w:val="VEBodyTextLeftIndent5"/>
        <w:ind w:firstLine="720" w:end="0"/>
        <w:rPr/>
      </w:pPr>
      <w:r>
        <w:rPr/>
        <w:t>“</w:t>
      </w:r>
      <w:r>
        <w:rPr/>
        <w:t>Articles of Merger” means the articles of merger meeting the requirements of Section 11.25 of the IBCA to be properly executed and filed in accordance with the IBCA.</w:t>
      </w:r>
    </w:p>
    <w:p>
      <w:pPr>
        <w:pStyle w:val="VEBodyTextLeftIndent5"/>
        <w:ind w:firstLine="720" w:end="0"/>
        <w:rPr/>
      </w:pPr>
      <w:r>
        <w:rPr/>
        <w:t>“</w:t>
      </w:r>
      <w:r>
        <w:rPr/>
        <w:t>Dynegy” means Dynegy Inc., an Illinois corporation.</w:t>
      </w:r>
    </w:p>
    <w:p>
      <w:pPr>
        <w:pStyle w:val="VEBodyTextLeftIndent5"/>
        <w:ind w:firstLine="720" w:end="0"/>
        <w:rPr/>
      </w:pPr>
      <w:r>
        <w:rPr/>
        <w:t>“</w:t>
      </w:r>
      <w:r>
        <w:rPr/>
        <w:t>Dynegy Disclosure Letter” means the disclosure letter delivered to Enron by Dynegy at or prior to the execution of the Agreement.</w:t>
      </w:r>
    </w:p>
    <w:p>
      <w:pPr>
        <w:pStyle w:val="VEBodyTextLeftIndent5"/>
        <w:ind w:firstLine="720" w:end="0"/>
        <w:rPr/>
      </w:pPr>
      <w:r>
        <w:rPr/>
        <w:t>“</w:t>
      </w:r>
      <w:r>
        <w:rPr/>
        <w:t>Dynegy Merger” means a merger of Dynegy Merger Sub with and into Dynegy, with Dynegy being the surviving entity.</w:t>
      </w:r>
    </w:p>
    <w:p>
      <w:pPr>
        <w:pStyle w:val="VEBodyTextLeftIndent5"/>
        <w:ind w:firstLine="720" w:end="0"/>
        <w:rPr/>
      </w:pPr>
      <w:r>
        <w:rPr/>
        <w:t>“</w:t>
      </w:r>
      <w:r>
        <w:rPr/>
        <w:t>Dynegy Merger Sub” means Badin, Inc., an Illinois corporation and wholly owned subsidiary of Newco.</w:t>
      </w:r>
    </w:p>
    <w:p>
      <w:pPr>
        <w:pStyle w:val="VEBodyTextLeftIndent5"/>
        <w:ind w:firstLine="720" w:end="0"/>
        <w:rPr/>
      </w:pPr>
      <w:r>
        <w:rPr/>
        <w:t>“</w:t>
      </w:r>
      <w:r>
        <w:rPr/>
        <w:t>Effective Time” means the time that Dynegy and Enron shall have agreed upon and designated in the respective Articles of Merger as the effective time thereof.</w:t>
      </w:r>
    </w:p>
    <w:p>
      <w:pPr>
        <w:pStyle w:val="VEBodyTextLeftIndent5"/>
        <w:ind w:firstLine="720" w:end="0"/>
        <w:rPr/>
      </w:pPr>
      <w:r>
        <w:rPr/>
        <w:t>“</w:t>
      </w:r>
      <w:r>
        <w:rPr/>
        <w:t>Enron” means Enron Corp., an Oregon corporation.</w:t>
      </w:r>
    </w:p>
    <w:p>
      <w:pPr>
        <w:pStyle w:val="VEBodyTextLeftIndent5"/>
        <w:ind w:firstLine="720" w:end="0"/>
        <w:rPr/>
      </w:pPr>
      <w:r>
        <w:rPr/>
        <w:t>“</w:t>
      </w:r>
      <w:r>
        <w:rPr/>
        <w:t>Enron Capital Budget” means management’s most recent capital expenditure budget of Enron as of the date of this Agreement for each quarterly period in 2002.</w:t>
      </w:r>
    </w:p>
    <w:p>
      <w:pPr>
        <w:pStyle w:val="VEBodyTextLeftIndent5"/>
        <w:ind w:firstLine="720" w:end="0"/>
        <w:rPr/>
      </w:pPr>
      <w:r>
        <w:rPr/>
        <w:t>“</w:t>
      </w:r>
      <w:r>
        <w:rPr/>
        <w:t>Enron Common Stock” means the common stock, no par value, of Enron.</w:t>
      </w:r>
    </w:p>
    <w:p>
      <w:pPr>
        <w:pStyle w:val="VEBodyTextLeftIndent5"/>
        <w:ind w:firstLine="720" w:end="0"/>
        <w:rPr/>
      </w:pPr>
      <w:r>
        <w:rPr/>
        <w:t>“</w:t>
      </w:r>
      <w:r>
        <w:rPr/>
        <w:t>Enron Disclosure Letter” means the disclosure letter delivered to Dynegy by Enron at or prior to the execution of the Agreement.</w:t>
      </w:r>
    </w:p>
    <w:p>
      <w:pPr>
        <w:pStyle w:val="VEBodyTextLeftIndent5"/>
        <w:ind w:firstLine="720" w:end="0"/>
        <w:rPr/>
      </w:pPr>
      <w:r>
        <w:rPr/>
        <w:t>“</w:t>
      </w:r>
      <w:r>
        <w:rPr/>
        <w:t>Enron Merger” means a merger of Enron Merger Sub with and into Enron, with Enron being the surviving entity.</w:t>
      </w:r>
    </w:p>
    <w:p>
      <w:pPr>
        <w:pStyle w:val="VEBodyTextLeftIndent5"/>
        <w:ind w:firstLine="720" w:end="0"/>
        <w:rPr/>
      </w:pPr>
      <w:r>
        <w:rPr/>
        <w:t>“</w:t>
      </w:r>
      <w:r>
        <w:rPr/>
        <w:t>Enron Merger Sub” means Sorin, Inc., an Oregon corporation and wholly owned subsidiary of Newco.</w:t>
      </w:r>
    </w:p>
    <w:p>
      <w:pPr>
        <w:pStyle w:val="VEBodyTextLeftIndent5"/>
        <w:ind w:firstLine="720" w:end="0"/>
        <w:rPr/>
      </w:pPr>
      <w:r>
        <w:rPr/>
        <w:t>“</w:t>
      </w:r>
      <w:r>
        <w:rPr/>
        <w:t>HSR Act” means the Hart-Scott-Rodino Antitrust Improvements Act of 1976, as amended.</w:t>
      </w:r>
    </w:p>
    <w:p>
      <w:pPr>
        <w:pStyle w:val="VEBodyTextLeftIndent5"/>
        <w:ind w:firstLine="720" w:end="0"/>
        <w:rPr/>
      </w:pPr>
      <w:r>
        <w:rPr/>
        <w:t>“</w:t>
      </w:r>
      <w:r>
        <w:rPr/>
        <w:t>IBCA” means the Business Corporation Act of the State of Illinois.</w:t>
      </w:r>
    </w:p>
    <w:p>
      <w:pPr>
        <w:pStyle w:val="VEBodyTextLeftIndent5"/>
        <w:ind w:firstLine="720" w:end="0"/>
        <w:rPr/>
      </w:pPr>
      <w:r>
        <w:rPr/>
        <w:t>“</w:t>
      </w:r>
      <w:r>
        <w:rPr/>
        <w:t>Liens” means all mortgages, deeds of trust, liens, security interests, pledges, leases, conditional sale contracts, charges, privileges, easements, rights of way, reservations, options, rights of first refusal and other encumbrances.</w:t>
      </w:r>
    </w:p>
    <w:p>
      <w:pPr>
        <w:pStyle w:val="VEBodyTextLeftIndent5"/>
        <w:ind w:firstLine="720" w:end="0"/>
        <w:rPr/>
      </w:pPr>
      <w:r>
        <w:rPr/>
        <w:t>“</w:t>
      </w:r>
      <w:r>
        <w:rPr/>
        <w:t>Mergers” means the Enron Merger and the Dynegy Merger.</w:t>
      </w:r>
    </w:p>
    <w:p>
      <w:pPr>
        <w:pStyle w:val="VEBodyTextLeftIndent5"/>
        <w:ind w:firstLine="720" w:end="0"/>
        <w:rPr/>
      </w:pPr>
      <w:r>
        <w:rPr/>
        <w:t>“</w:t>
      </w:r>
      <w:r>
        <w:rPr/>
        <w:t>Newco” means Stanford, Inc., a Delaware corporation and wholly owned subsidiary of Dynegy.</w:t>
      </w:r>
    </w:p>
    <w:p>
      <w:pPr>
        <w:pStyle w:val="VEBodyTextLeftIndent5"/>
        <w:ind w:firstLine="720" w:end="0"/>
        <w:rPr/>
      </w:pPr>
      <w:r>
        <w:rPr/>
        <w:t>“</w:t>
      </w:r>
      <w:r>
        <w:rPr/>
        <w:t>Preferred Stock” means the preferred stock, no par value, of Enron.</w:t>
      </w:r>
    </w:p>
    <w:p>
      <w:pPr>
        <w:pStyle w:val="VEBodyTextLeftIndent5"/>
        <w:ind w:firstLine="720" w:end="0"/>
        <w:rPr/>
      </w:pPr>
      <w:r>
        <w:rPr/>
        <w:t>“</w:t>
      </w:r>
      <w:r>
        <w:rPr/>
        <w:t>SEC” means the Securities and Exchange Commission.</w:t>
      </w:r>
    </w:p>
    <w:p>
      <w:pPr>
        <w:pStyle w:val="VEBodyTextLeftIndent5"/>
        <w:ind w:firstLine="720" w:end="0"/>
        <w:rPr/>
      </w:pPr>
      <w:r>
        <w:rPr/>
        <w:t>“</w:t>
      </w:r>
      <w:r>
        <w:rPr/>
        <w:t>Second Preferred Stock” means the Cumulative Second Preferred Convertible Stock of Enron.</w:t>
      </w:r>
    </w:p>
    <w:p>
      <w:pPr>
        <w:pStyle w:val="VEBodyTextLeftIndent5"/>
        <w:ind w:firstLine="720" w:end="0"/>
        <w:rPr/>
      </w:pPr>
      <w:r>
        <w:rPr/>
        <w:t>“</w:t>
      </w:r>
      <w:r>
        <w:rPr/>
        <w:t>Series B Preferred Stock” means the Mandatorily Convertible Single Reset Preferred Stock, Series C, of Enron.</w:t>
      </w:r>
    </w:p>
    <w:p>
      <w:pPr>
        <w:pStyle w:val="VEBodyTextLeftIndent5"/>
        <w:ind w:firstLine="720" w:end="0"/>
        <w:rPr/>
      </w:pPr>
      <w:r>
        <w:rPr/>
        <w:t>“</w:t>
      </w:r>
      <w:r>
        <w:rPr/>
        <w:t>Series C Preferred Stock” means the Mandatorily Convertible Junior Preferred Stock, Series B, of Enron.</w:t>
      </w:r>
    </w:p>
    <w:p>
      <w:pPr>
        <w:pStyle w:val="VEBodyTextLeftIndent5"/>
        <w:ind w:firstLine="720" w:end="0"/>
        <w:rPr/>
      </w:pPr>
      <w:r>
        <w:rPr/>
        <w:t>“</w:t>
      </w:r>
      <w:r>
        <w:rPr/>
        <w:t>Subsidiary,” when used with respect to any party, means any corporation or other organization (including a limited liability company), whether incorporated or unincorporated, of which such party directly or indirectly owns at least 50% of the securities or other interests having by their terms ordinary voting power to elect at least 50% of the board of directors or others performing similar functions with respect to such corporation or other organization or, except with respect to Article 7, any organization of which such party or a Subsidiary of such party is a general partner or managing member.</w:t>
      </w:r>
    </w:p>
    <w:p>
      <w:pPr>
        <w:pStyle w:val="VEBodyTextLeftIndent5"/>
        <w:ind w:firstLine="720" w:end="0"/>
        <w:rPr/>
      </w:pPr>
      <w:r>
        <w:rPr/>
        <w:t>“</w:t>
      </w:r>
      <w:r>
        <w:rPr/>
        <w:t>Termination Date” means November 30, 2002.</w:t>
      </w:r>
    </w:p>
    <w:p>
      <w:pPr>
        <w:pStyle w:val="VEBodyTextFLI"/>
        <w:spacing w:before="0" w:after="240"/>
        <w:ind w:hanging="720" w:start="1440" w:end="0"/>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umanst521 BT">
    <w:altName w:val="Lucida Sans Unicode"/>
    <w:charset w:val="00" w:characterSet="windows-1252"/>
    <w:family w:val="swiss"/>
    <w:pitch w:val="variable"/>
  </w:font>
  <w:font w:name="VELogo">
    <w:altName w:val="Trebuchet M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Covenant.Compliance.Memo.3.DOC</w:t>
    </w:r>
    <w:r>
      <w:rPr>
        <w:rStyle w:val="VEDocumentInformatio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Covenant.Compliance.Memo.3.DOC</w:t>
    </w:r>
    <w:r>
      <w:rPr>
        <w:rStyle w:val="VEDocumentInformation"/>
      </w:rPr>
      <w:fldChar w:fldCharType="end"/>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237490"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480"/>
      <w:rPr/>
    </w:pPr>
    <w:bookmarkStart w:id="13" w:name="HeaderAAddressee"/>
    <w:bookmarkEnd w:id="13"/>
    <w:r>
      <w:rPr/>
      <w:t xml:space="preserve">Memorandum to </w:t>
      <w:br/>
    </w:r>
    <w:bookmarkStart w:id="14" w:name="HeaderADate"/>
    <w:r>
      <w:rPr/>
      <w:fldChar w:fldCharType="begin"/>
    </w:r>
    <w:r>
      <w:rPr/>
      <w:instrText xml:space="preserve"> DATE \@"MMMM\ d', 'yyyy" </w:instrText>
    </w:r>
    <w:r>
      <w:rPr/>
      <w:fldChar w:fldCharType="separate"/>
    </w:r>
    <w:r>
      <w:rPr/>
      <w:t>September 28, 2025</w:t>
    </w:r>
    <w:r>
      <w:rPr/>
      <w:fldChar w:fldCharType="end"/>
    </w:r>
    <w:bookmarkEnd w:id="14"/>
    <w:r>
      <w:rPr/>
      <w:b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360"/>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3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smallCaps w:val="false"/>
        <w:caps w:val="false"/>
        <w:sz w:val="24"/>
        <w:i w:val="false"/>
        <w:u w:val="none"/>
        <w:b/>
        <w:color w:val="auto"/>
      </w:rPr>
    </w:lvl>
    <w:lvl w:ilvl="1">
      <w:start w:val="1"/>
      <w:pStyle w:val="Heading2"/>
      <w:isLgl/>
      <w:numFmt w:val="decimal"/>
      <w:lvlText w:val="Section %1.%2"/>
      <w:lvlJc w:val="start"/>
      <w:pPr>
        <w:tabs>
          <w:tab w:val="num" w:pos="2160"/>
        </w:tabs>
        <w:ind w:start="0" w:firstLine="1440"/>
      </w:pPr>
      <w:rPr>
        <w:smallCaps w:val="false"/>
        <w:caps w:val="false"/>
        <w:sz w:val="24"/>
        <w:i w:val="false"/>
        <w:u w:val="none"/>
        <w:b w:val="false"/>
        <w:rFonts w:ascii="Times New Roman" w:hAnsi="Times New Roman" w:cs="Times New Roman"/>
        <w:color w:val="auto"/>
      </w:rPr>
    </w:lvl>
    <w:lvl w:ilvl="2">
      <w:start w:val="1"/>
      <w:pStyle w:val="Heading3"/>
      <w:numFmt w:val="lowerLetter"/>
      <w:lvlText w:val="(%3)"/>
      <w:lvlJc w:val="start"/>
      <w:pPr>
        <w:tabs>
          <w:tab w:val="num" w:pos="2160"/>
        </w:tabs>
        <w:ind w:start="720" w:firstLine="720"/>
      </w:pPr>
      <w:rPr>
        <w:smallCaps w:val="false"/>
        <w:caps w:val="false"/>
        <w:sz w:val="24"/>
        <w:i w:val="false"/>
        <w:u w:val="none"/>
        <w:b w:val="false"/>
        <w:rFonts w:ascii="Times New Roman" w:hAnsi="Times New Roman" w:cs="Times New Roman"/>
        <w:color w:val="auto"/>
      </w:rPr>
    </w:lvl>
    <w:lvl w:ilvl="3">
      <w:start w:val="1"/>
      <w:pStyle w:val="Heading4"/>
      <w:numFmt w:val="lowerLetter"/>
      <w:lvlText w:val="(%4)"/>
      <w:lvlJc w:val="start"/>
      <w:pPr>
        <w:tabs>
          <w:tab w:val="num" w:pos="2160"/>
        </w:tabs>
        <w:ind w:start="0" w:firstLine="1440"/>
      </w:pPr>
      <w:rPr>
        <w:sz w:val="24"/>
        <w:b w:val="false"/>
        <w:rFonts w:ascii="Times New Roman" w:hAnsi="Times New Roman" w:cs="Times New Roman"/>
        <w:color w:val="auto"/>
      </w:rPr>
    </w:lvl>
    <w:lvl w:ilvl="4">
      <w:start w:val="1"/>
      <w:pStyle w:val="Heading5"/>
      <w:numFmt w:val="lowerRoman"/>
      <w:lvlText w:val="(%5)"/>
      <w:lvlJc w:val="start"/>
      <w:pPr>
        <w:tabs>
          <w:tab w:val="num" w:pos="2880"/>
        </w:tabs>
        <w:ind w:start="1440" w:firstLine="720"/>
      </w:pPr>
      <w:rPr>
        <w:sz w:val="24"/>
        <w:rFonts w:ascii="Times New Roman" w:hAnsi="Times New Roman" w:cs="Times New Roman"/>
        <w:color w:val="auto"/>
      </w:rPr>
    </w:lvl>
    <w:lvl w:ilvl="5">
      <w:start w:val="1"/>
      <w:pStyle w:val="Heading6"/>
      <w:numFmt w:val="upperLetter"/>
      <w:lvlText w:val="(%6)"/>
      <w:lvlJc w:val="start"/>
      <w:pPr>
        <w:tabs>
          <w:tab w:val="num" w:pos="2880"/>
        </w:tabs>
        <w:ind w:start="1440" w:firstLine="720"/>
      </w:pPr>
      <w:rPr>
        <w:sz w:val="24"/>
        <w:b w:val="false"/>
        <w:rFonts w:ascii="Times New Roman" w:hAnsi="Times New Roman" w:cs="Times New Roman"/>
        <w:color w:val="auto"/>
      </w:rPr>
    </w:lvl>
    <w:lvl w:ilvl="6">
      <w:start w:val="1"/>
      <w:pStyle w:val="Heading7"/>
      <w:numFmt w:val="decimal"/>
      <w:lvlText w:val="%7"/>
      <w:lvlJc w:val="start"/>
      <w:pPr>
        <w:tabs>
          <w:tab w:val="num" w:pos="2520"/>
        </w:tabs>
        <w:ind w:start="2520" w:hanging="360"/>
      </w:pPr>
      <w:rPr>
        <w:color w:val="auto"/>
      </w:rPr>
    </w:lvl>
    <w:lvl w:ilvl="7">
      <w:start w:val="1"/>
      <w:pStyle w:val="Heading8"/>
      <w:numFmt w:val="lowerLetter"/>
      <w:lvlText w:val="1%8"/>
      <w:lvlJc w:val="start"/>
      <w:pPr>
        <w:tabs>
          <w:tab w:val="num" w:pos="2880"/>
        </w:tabs>
        <w:ind w:start="2880" w:hanging="360"/>
      </w:pPr>
      <w:rPr>
        <w:color w:val="auto"/>
      </w:rPr>
    </w:lvl>
    <w:lvl w:ilvl="8">
      <w:start w:val="1"/>
      <w:pStyle w:val="Heading9"/>
      <w:numFmt w:val="lowerRoman"/>
      <w:lvlText w:val="%9."/>
      <w:lvlJc w:val="start"/>
      <w:pPr>
        <w:tabs>
          <w:tab w:val="num" w:pos="3240"/>
        </w:tabs>
        <w:ind w:start="3240" w:hanging="360"/>
      </w:pPr>
      <w:rPr>
        <w:color w:val="auto"/>
      </w:r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decimal"/>
      <w:lvlText w:val="%1."/>
      <w:lvlJc w:val="start"/>
      <w:pPr>
        <w:tabs>
          <w:tab w:val="num" w:pos="1440"/>
        </w:tabs>
        <w:ind w:start="1440" w:hanging="720"/>
      </w:pPr>
      <w:rPr/>
    </w:lvl>
  </w:abstractNum>
  <w:abstractNum w:abstractNumId="4">
    <w:lvl w:ilvl="0">
      <w:start w:val="1"/>
      <w:numFmt w:val="decimal"/>
      <w:lvlText w:val="%1."/>
      <w:lvlJc w:val="start"/>
      <w:pPr>
        <w:tabs>
          <w:tab w:val="num" w:pos="360"/>
        </w:tabs>
        <w:ind w:start="0" w:hanging="0"/>
      </w:pPr>
      <w:rPr/>
    </w:lvl>
  </w:abstractNum>
  <w:abstractNum w:abstractNumId="5">
    <w:lvl w:ilvl="0">
      <w:start w:val="1"/>
      <w:numFmt w:val="upperLetter"/>
      <w:lvlText w:val="%1."/>
      <w:lvlJc w:val="start"/>
      <w:pPr>
        <w:tabs>
          <w:tab w:val="num" w:pos="360"/>
        </w:tabs>
        <w:ind w:start="0" w:hanging="0"/>
      </w:pPr>
      <w:rPr/>
    </w:lvl>
  </w:abstractNum>
  <w:abstractNum w:abstractNumId="6">
    <w:lvl w:ilvl="0">
      <w:start w:val="1"/>
      <w:numFmt w:val="upperLetter"/>
      <w:lvlText w:val="%1."/>
      <w:lvlJc w:val="start"/>
      <w:pPr>
        <w:tabs>
          <w:tab w:val="num" w:pos="1440"/>
        </w:tabs>
        <w:ind w:start="1440" w:hanging="360"/>
      </w:pPr>
    </w:lvl>
  </w:abstractNum>
  <w:abstractNum w:abstractNumId="7">
    <w:lvl w:ilvl="0">
      <w:start w:val="1"/>
      <w:numFmt w:val="lowerLetter"/>
      <w:lvlText w:val="%1."/>
      <w:lvlJc w:val="start"/>
      <w:pPr>
        <w:tabs>
          <w:tab w:val="num" w:pos="1080"/>
        </w:tabs>
        <w:ind w:start="1080" w:hanging="360"/>
      </w:pPr>
      <w:rPr/>
    </w:lvl>
    <w:lvl w:ilvl="1">
      <w:start w:val="1"/>
      <w:numFmt w:val="lowerLetter"/>
      <w:lvlText w:val="%2."/>
      <w:lvlJc w:val="start"/>
      <w:pPr>
        <w:tabs>
          <w:tab w:val="num" w:pos="1800"/>
        </w:tabs>
        <w:ind w:start="1800" w:hanging="360"/>
      </w:pPr>
    </w:lvl>
    <w:lvl w:ilvl="2">
      <w:start w:val="1"/>
      <w:numFmt w:val="lowerRoman"/>
      <w:lvlText w:val="(%3)"/>
      <w:lvlJc w:val="start"/>
      <w:pPr>
        <w:tabs>
          <w:tab w:val="num" w:pos="3060"/>
        </w:tabs>
        <w:ind w:start="3060" w:hanging="720"/>
      </w:pPr>
      <w:r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8">
    <w:lvl w:ilvl="0">
      <w:start w:val="1"/>
      <w:numFmt w:val="decimal"/>
      <w:lvlText w:val="%1."/>
      <w:lvlJc w:val="start"/>
      <w:pPr>
        <w:tabs>
          <w:tab w:val="num" w:pos="12240"/>
        </w:tabs>
        <w:ind w:start="12240" w:hanging="360"/>
      </w:pPr>
    </w:lvl>
  </w:abstractNum>
  <w:abstractNum w:abstractNumId="9">
    <w:lvl w:ilvl="0">
      <w:start w:val="1"/>
      <w:numFmt w:val="bullet"/>
      <w:lvlText w:val=""/>
      <w:lvlJc w:val="start"/>
      <w:pPr>
        <w:tabs>
          <w:tab w:val="num" w:pos="3600"/>
        </w:tabs>
        <w:ind w:start="3600" w:hanging="360"/>
      </w:pPr>
      <w:rPr>
        <w:rFonts w:ascii="Symbol" w:hAnsi="Symbol" w:cs="Symbol" w:hint="default"/>
      </w:rPr>
    </w:lvl>
  </w:abstractNum>
  <w:abstractNum w:abstractNumId="10">
    <w:lvl w:ilvl="0">
      <w:start w:val="1"/>
      <w:numFmt w:val="bullet"/>
      <w:lvlText w:val=""/>
      <w:lvlJc w:val="start"/>
      <w:pPr>
        <w:tabs>
          <w:tab w:val="num" w:pos="1440"/>
        </w:tabs>
        <w:ind w:start="1440" w:hanging="360"/>
      </w:pPr>
      <w:rPr>
        <w:rFonts w:ascii="Symbol" w:hAnsi="Symbol" w:cs="Symbol" w:hint="default"/>
      </w:rPr>
    </w:lvl>
  </w:abstractNum>
  <w:abstractNum w:abstractNumId="11">
    <w:lvl w:ilvl="0">
      <w:start w:val="1"/>
      <w:numFmt w:val="bullet"/>
      <w:lvlText w:val=""/>
      <w:lvlJc w:val="start"/>
      <w:pPr>
        <w:tabs>
          <w:tab w:val="num" w:pos="1440"/>
        </w:tabs>
        <w:ind w:start="1440" w:hanging="360"/>
      </w:pPr>
      <w:rPr>
        <w:rFonts w:ascii="Symbol" w:hAnsi="Symbol" w:cs="Symbol" w:hint="default"/>
      </w:rPr>
    </w:lvl>
  </w:abstractNum>
  <w:abstractNum w:abstractNumId="12">
    <w:lvl w:ilvl="0">
      <w:start w:val="1"/>
      <w:numFmt w:val="bullet"/>
      <w:lvlText w:val=""/>
      <w:lvlJc w:val="start"/>
      <w:pPr>
        <w:tabs>
          <w:tab w:val="num" w:pos="1440"/>
        </w:tabs>
        <w:ind w:start="1440" w:hanging="360"/>
      </w:pPr>
      <w:rPr>
        <w:rFonts w:ascii="Symbol" w:hAnsi="Symbol" w:cs="Symbol" w:hint="default"/>
      </w:rPr>
    </w:lvl>
  </w:abstractNum>
  <w:abstractNum w:abstractNumId="13">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keepLines/>
      <w:numPr>
        <w:ilvl w:val="0"/>
        <w:numId w:val="1"/>
      </w:numPr>
      <w:spacing w:before="0" w:after="240"/>
      <w:jc w:val="center"/>
      <w:outlineLvl w:val="0"/>
    </w:pPr>
    <w:rPr>
      <w:b/>
      <w:szCs w:val="20"/>
    </w:rPr>
  </w:style>
  <w:style w:type="paragraph" w:styleId="Heading2">
    <w:name w:val="heading 2"/>
    <w:basedOn w:val="Normal"/>
    <w:next w:val="BodyText"/>
    <w:qFormat/>
    <w:pPr>
      <w:numPr>
        <w:ilvl w:val="1"/>
        <w:numId w:val="1"/>
      </w:numPr>
      <w:spacing w:before="0" w:after="240"/>
      <w:jc w:val="both"/>
      <w:outlineLvl w:val="1"/>
    </w:pPr>
    <w:rPr>
      <w:i/>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40"/>
      <w:jc w:val="both"/>
      <w:outlineLvl w:val="5"/>
    </w:pPr>
    <w:rPr>
      <w:szCs w:val="20"/>
    </w:rPr>
  </w:style>
  <w:style w:type="paragraph" w:styleId="Heading7">
    <w:name w:val="heading 7"/>
    <w:basedOn w:val="Normal"/>
    <w:next w:val="BodyText"/>
    <w:qFormat/>
    <w:pPr>
      <w:numPr>
        <w:ilvl w:val="6"/>
        <w:numId w:val="1"/>
      </w:numPr>
      <w:jc w:val="both"/>
      <w:outlineLvl w:val="6"/>
    </w:pPr>
    <w:rPr>
      <w:szCs w:val="20"/>
    </w:rPr>
  </w:style>
  <w:style w:type="paragraph" w:styleId="Heading8">
    <w:name w:val="heading 8"/>
    <w:basedOn w:val="Normal"/>
    <w:next w:val="BodyText"/>
    <w:qFormat/>
    <w:pPr>
      <w:numPr>
        <w:ilvl w:val="7"/>
        <w:numId w:val="1"/>
      </w:numPr>
      <w:jc w:val="both"/>
      <w:outlineLvl w:val="7"/>
    </w:pPr>
    <w:rPr>
      <w:szCs w:val="20"/>
    </w:rPr>
  </w:style>
  <w:style w:type="paragraph" w:styleId="Heading9">
    <w:name w:val="heading 9"/>
    <w:basedOn w:val="Normal"/>
    <w:next w:val="BodyText"/>
    <w:qFormat/>
    <w:pPr>
      <w:numPr>
        <w:ilvl w:val="8"/>
        <w:numId w:val="1"/>
      </w:numPr>
      <w:jc w:val="both"/>
      <w:outlineLvl w:val="8"/>
    </w:pPr>
    <w:rPr>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8z0">
    <w:name w:val="WW8Num18z0"/>
    <w:qFormat/>
    <w:rPr/>
  </w:style>
  <w:style w:type="character" w:styleId="WW8Num19z1">
    <w:name w:val="WW8Num19z1"/>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b/>
      <w:i w:val="false"/>
      <w:caps w:val="false"/>
      <w:smallCaps w:val="false"/>
      <w:color w:val="auto"/>
      <w:sz w:val="24"/>
      <w:u w:val="none"/>
    </w:rPr>
  </w:style>
  <w:style w:type="character" w:styleId="WW8Num22z1">
    <w:name w:val="WW8Num22z1"/>
    <w:qFormat/>
    <w:rPr>
      <w:rFonts w:ascii="Times New Roman" w:hAnsi="Times New Roman" w:cs="Times New Roman"/>
      <w:b w:val="false"/>
      <w:i w:val="false"/>
      <w:caps w:val="false"/>
      <w:smallCaps w:val="false"/>
      <w:color w:val="auto"/>
      <w:sz w:val="24"/>
      <w:u w:val="none"/>
    </w:rPr>
  </w:style>
  <w:style w:type="character" w:styleId="WW8Num22z3">
    <w:name w:val="WW8Num22z3"/>
    <w:qFormat/>
    <w:rPr>
      <w:rFonts w:ascii="Times New Roman" w:hAnsi="Times New Roman" w:cs="Times New Roman"/>
      <w:b w:val="false"/>
      <w:color w:val="auto"/>
      <w:sz w:val="24"/>
    </w:rPr>
  </w:style>
  <w:style w:type="character" w:styleId="WW8Num22z4">
    <w:name w:val="WW8Num22z4"/>
    <w:qFormat/>
    <w:rPr>
      <w:rFonts w:ascii="Times New Roman" w:hAnsi="Times New Roman" w:cs="Times New Roman"/>
      <w:color w:val="auto"/>
      <w:sz w:val="24"/>
    </w:rPr>
  </w:style>
  <w:style w:type="character" w:styleId="WW8Num22z6">
    <w:name w:val="WW8Num22z6"/>
    <w:qFormat/>
    <w:rPr>
      <w:color w:val="auto"/>
    </w:rPr>
  </w:style>
  <w:style w:type="character" w:styleId="WW8Num23z0">
    <w:name w:val="WW8Num23z0"/>
    <w:qFormat/>
    <w:rPr>
      <w:b w:val="false"/>
      <w:i w:val="false"/>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color w:val="000000"/>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cumentInformation">
    <w:name w:val="VE Document Information"/>
    <w:basedOn w:val="DefaultParagraphFont"/>
    <w:qFormat/>
    <w:rPr>
      <w:sz w:val="16"/>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Words">
    <w:name w:val="VE Underline Words"/>
    <w:basedOn w:val="DefaultParagraphFont"/>
    <w:qFormat/>
    <w:rPr>
      <w:u w:val="single"/>
    </w:rPr>
  </w:style>
  <w:style w:type="character" w:styleId="VEUnderline">
    <w:name w:val="VE Underline"/>
    <w:basedOn w:val="DefaultParagraphFont"/>
    <w:qFormat/>
    <w:rPr>
      <w:u w:val="single"/>
    </w:rPr>
  </w:style>
  <w:style w:type="paragraph" w:styleId="Heading">
    <w:name w:val="Heading"/>
    <w:basedOn w:val="Normal"/>
    <w:next w:val="BodyText"/>
    <w:qFormat/>
    <w:pPr>
      <w:jc w:val="center"/>
    </w:pPr>
    <w:rPr>
      <w:b/>
      <w:bCs/>
      <w:u w:val="single"/>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before="0" w:after="360"/>
    </w:pPr>
    <w:rPr/>
  </w:style>
  <w:style w:type="paragraph" w:styleId="DocumentLabel">
    <w:name w:val="Document Label"/>
    <w:basedOn w:val="Normal"/>
    <w:next w:val="BodyText"/>
    <w:qFormat/>
    <w:pPr>
      <w:keepNext w:val="true"/>
      <w:keepLines/>
      <w:spacing w:before="120" w:after="240"/>
    </w:pPr>
    <w:rPr>
      <w:b/>
      <w:caps/>
      <w:spacing w:val="180"/>
      <w:kern w:val="2"/>
      <w:sz w:val="32"/>
      <w:szCs w:val="20"/>
    </w:rPr>
  </w:style>
  <w:style w:type="paragraph" w:styleId="VENormal">
    <w:name w:val="VE Normal"/>
    <w:basedOn w:val="Normal"/>
    <w:qFormat/>
    <w:pPr>
      <w:jc w:val="both"/>
    </w:pPr>
    <w:rPr/>
  </w:style>
  <w:style w:type="paragraph" w:styleId="VEBodyText">
    <w:name w:val="VE Body Text"/>
    <w:basedOn w:val="VENormal"/>
    <w:qFormat/>
    <w:pPr>
      <w:spacing w:before="0" w:after="240"/>
    </w:pPr>
    <w:rPr/>
  </w:style>
  <w:style w:type="paragraph" w:styleId="VEBodyTextFLI">
    <w:name w:val="VE Body Text FLI"/>
    <w:basedOn w:val="VENormal"/>
    <w:qFormat/>
    <w:pPr>
      <w:spacing w:before="0" w:after="240"/>
      <w:ind w:firstLine="720" w:start="0" w:end="0"/>
    </w:pPr>
    <w:rPr>
      <w:szCs w:val="20"/>
    </w:rPr>
  </w:style>
  <w:style w:type="paragraph" w:styleId="VEBodyTextNoSpace">
    <w:name w:val="VE Body Text No Space"/>
    <w:basedOn w:val="VENormal"/>
    <w:qFormat/>
    <w:pPr/>
    <w:rPr/>
  </w:style>
  <w:style w:type="paragraph" w:styleId="VECenteredAddressBlock">
    <w:name w:val="VE Centered Address Block"/>
    <w:basedOn w:val="VEBodyTextNoSpace"/>
    <w:qFormat/>
    <w:pPr>
      <w:spacing w:lineRule="auto" w:line="300"/>
      <w:jc w:val="center"/>
    </w:pPr>
    <w:rPr>
      <w:rFonts w:ascii="Humanst521 BT;Lucida Sans Unicode" w:hAnsi="Humanst521 BT;Lucida Sans Unicode" w:cs="Humanst521 BT;Lucida Sans Unicode"/>
      <w:spacing w:val="19"/>
      <w:sz w:val="12"/>
      <w:szCs w:val="20"/>
    </w:rPr>
  </w:style>
  <w:style w:type="paragraph" w:styleId="VEDate">
    <w:name w:val="VE Date"/>
    <w:basedOn w:val="VEBodyText"/>
    <w:next w:val="VEBodyText"/>
    <w:qFormat/>
    <w:pPr>
      <w:spacing w:before="0" w:after="480"/>
      <w:jc w:val="center"/>
    </w:pPr>
    <w:rPr>
      <w:szCs w:val="20"/>
    </w:rPr>
  </w:style>
  <w:style w:type="paragraph" w:styleId="VELeftAddressBlock">
    <w:name w:val="VE Left Address Block"/>
    <w:basedOn w:val="VEBodyTextNoSpace"/>
    <w:qFormat/>
    <w:pPr>
      <w:spacing w:lineRule="auto" w:line="300"/>
    </w:pPr>
    <w:rPr>
      <w:rFonts w:ascii="Humanst521 BT;Lucida Sans Unicode" w:hAnsi="Humanst521 BT;Lucida Sans Unicode" w:cs="Humanst521 BT;Lucida Sans Unicode"/>
      <w:spacing w:val="19"/>
      <w:sz w:val="12"/>
      <w:szCs w:val="20"/>
    </w:rPr>
  </w:style>
  <w:style w:type="paragraph" w:styleId="VELogo">
    <w:name w:val="VE Logo"/>
    <w:basedOn w:val="VEBodyText"/>
    <w:next w:val="VEBodyText"/>
    <w:qFormat/>
    <w:pPr>
      <w:jc w:val="center"/>
    </w:pPr>
    <w:rPr>
      <w:rFonts w:ascii="VELogo;Trebuchet MS" w:hAnsi="VELogo;Trebuchet MS" w:cs="VELogo;Trebuchet MS"/>
      <w:sz w:val="48"/>
      <w:szCs w:val="20"/>
    </w:rPr>
  </w:style>
  <w:style w:type="paragraph" w:styleId="VEMemoHeading">
    <w:name w:val="VE Memo Heading"/>
    <w:basedOn w:val="VEBodyText"/>
    <w:next w:val="VEBodyText"/>
    <w:qFormat/>
    <w:pPr>
      <w:spacing w:before="840" w:after="240"/>
      <w:jc w:val="center"/>
    </w:pPr>
    <w:rPr>
      <w:b/>
      <w:bCs/>
      <w:caps/>
      <w:spacing w:val="180"/>
      <w:kern w:val="2"/>
      <w:sz w:val="28"/>
      <w:szCs w:val="20"/>
    </w:rPr>
  </w:style>
  <w:style w:type="paragraph" w:styleId="VEMemoRE">
    <w:name w:val="VE Memo RE"/>
    <w:basedOn w:val="VEBodyText"/>
    <w:next w:val="VEBodyText"/>
    <w:qFormat/>
    <w:pPr>
      <w:spacing w:before="240" w:after="240"/>
      <w:ind w:hanging="1440" w:start="1440" w:end="0"/>
    </w:pPr>
    <w:rPr>
      <w:szCs w:val="20"/>
    </w:rPr>
  </w:style>
  <w:style w:type="paragraph" w:styleId="VERightAddressBlock">
    <w:name w:val="VE Right Address Block"/>
    <w:basedOn w:val="VEBodyTextNoSpace"/>
    <w:qFormat/>
    <w:pPr>
      <w:spacing w:lineRule="auto" w:line="300"/>
      <w:jc w:val="end"/>
    </w:pPr>
    <w:rPr>
      <w:rFonts w:ascii="Humanst521 BT;Lucida Sans Unicode" w:hAnsi="Humanst521 BT;Lucida Sans Unicode" w:cs="Humanst521 BT;Lucida Sans Unicode"/>
      <w:spacing w:val="19"/>
      <w:sz w:val="12"/>
      <w:szCs w:val="20"/>
    </w:rPr>
  </w:style>
  <w:style w:type="paragraph" w:styleId="VESubHeading">
    <w:name w:val="VE Sub Heading"/>
    <w:basedOn w:val="VENormal"/>
    <w:next w:val="VEBodyText"/>
    <w:qFormat/>
    <w:pPr>
      <w:spacing w:before="0" w:after="240"/>
      <w:jc w:val="start"/>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CenteredText">
    <w:name w:val="VE Centered Text"/>
    <w:basedOn w:val="VENormal"/>
    <w:next w:val="VEBodyText"/>
    <w:qFormat/>
    <w:pPr>
      <w:spacing w:before="0" w:after="240"/>
      <w:jc w:val="center"/>
    </w:pPr>
    <w:rPr/>
  </w:style>
  <w:style w:type="paragraph" w:styleId="VE123List">
    <w:name w:val="VE 123 List"/>
    <w:basedOn w:val="VENormal"/>
    <w:qFormat/>
    <w:pPr>
      <w:numPr>
        <w:ilvl w:val="0"/>
        <w:numId w:val="3"/>
      </w:numPr>
      <w:spacing w:before="0" w:after="240"/>
    </w:pPr>
    <w:rPr/>
  </w:style>
  <w:style w:type="paragraph" w:styleId="VEABCList">
    <w:name w:val="VE ABC List"/>
    <w:basedOn w:val="VENormal"/>
    <w:qFormat/>
    <w:pPr>
      <w:numPr>
        <w:ilvl w:val="0"/>
        <w:numId w:val="6"/>
      </w:numPr>
      <w:tabs>
        <w:tab w:val="clear" w:pos="720"/>
      </w:tabs>
      <w:spacing w:before="0" w:after="240"/>
      <w:ind w:hanging="720" w:start="0" w:end="0"/>
    </w:pPr>
    <w:rPr/>
  </w:style>
  <w:style w:type="paragraph" w:styleId="VEBodytext5">
    <w:name w:val="VE Body text .5"/>
    <w:basedOn w:val="VEBodyText"/>
    <w:next w:val="VEBodyText"/>
    <w:qFormat/>
    <w:pPr>
      <w:ind w:hanging="0" w:start="720" w:end="0"/>
    </w:pPr>
    <w:rPr/>
  </w:style>
  <w:style w:type="paragraph" w:styleId="VEBodyText1">
    <w:name w:val="VE Body Text 1"/>
    <w:basedOn w:val="VENormal"/>
    <w:next w:val="Normal"/>
    <w:qFormat/>
    <w:pPr>
      <w:spacing w:before="0" w:after="240"/>
      <w:ind w:firstLine="720" w:start="0" w:end="0"/>
    </w:pPr>
    <w:rPr/>
  </w:style>
  <w:style w:type="paragraph" w:styleId="VEBodyText2">
    <w:name w:val="VE Body Text 2"/>
    <w:basedOn w:val="VENormal"/>
    <w:next w:val="Normal"/>
    <w:qFormat/>
    <w:pPr>
      <w:spacing w:before="0" w:after="240"/>
      <w:ind w:firstLine="1440" w:start="0" w:end="0"/>
    </w:pPr>
    <w:rPr/>
  </w:style>
  <w:style w:type="paragraph" w:styleId="VEBodyText3">
    <w:name w:val="VE Body Text 3"/>
    <w:basedOn w:val="VENormal"/>
    <w:next w:val="Normal"/>
    <w:qFormat/>
    <w:pPr>
      <w:spacing w:before="0" w:after="240"/>
      <w:ind w:firstLine="2160" w:start="0" w:end="0"/>
    </w:pPr>
    <w:rPr/>
  </w:style>
  <w:style w:type="paragraph" w:styleId="VEBodyText4">
    <w:name w:val="VE Body Text 4"/>
    <w:basedOn w:val="VENormal"/>
    <w:next w:val="Normal"/>
    <w:qFormat/>
    <w:pPr>
      <w:spacing w:before="0" w:after="240"/>
      <w:ind w:firstLine="2880" w:start="0" w:end="0"/>
    </w:pPr>
    <w:rPr/>
  </w:style>
  <w:style w:type="paragraph" w:styleId="VEBodyText51">
    <w:name w:val="VE Body Text 5"/>
    <w:basedOn w:val="VENormal"/>
    <w:next w:val="Normal"/>
    <w:qFormat/>
    <w:pPr/>
    <w:rPr/>
  </w:style>
  <w:style w:type="paragraph" w:styleId="VEBodyText6">
    <w:name w:val="VE Body Text 6"/>
    <w:basedOn w:val="VENormal"/>
    <w:next w:val="Normal"/>
    <w:qFormat/>
    <w:pPr/>
    <w:rPr/>
  </w:style>
  <w:style w:type="paragraph" w:styleId="VEBodyText7">
    <w:name w:val="VE Body Text 7"/>
    <w:basedOn w:val="VENormal"/>
    <w:next w:val="Normal"/>
    <w:qFormat/>
    <w:pPr/>
    <w:rPr/>
  </w:style>
  <w:style w:type="paragraph" w:styleId="VEBodyText8">
    <w:name w:val="VE Body Text 8"/>
    <w:basedOn w:val="VENormal"/>
    <w:next w:val="Normal"/>
    <w:qFormat/>
    <w:pPr/>
    <w:rPr/>
  </w:style>
  <w:style w:type="paragraph" w:styleId="VEBodyText9">
    <w:name w:val="VE Body Text 9"/>
    <w:basedOn w:val="VENormal"/>
    <w:next w:val="Normal"/>
    <w:qFormat/>
    <w:pPr/>
    <w:rPr/>
  </w:style>
  <w:style w:type="paragraph" w:styleId="VEBodyTextDouble">
    <w:name w:val="VE Body Text Double"/>
    <w:basedOn w:val="VENormal"/>
    <w:qFormat/>
    <w:pPr>
      <w:spacing w:lineRule="auto" w:line="480" w:before="0" w:after="240"/>
    </w:pPr>
    <w:rPr/>
  </w:style>
  <w:style w:type="paragraph" w:styleId="VEBulletList">
    <w:name w:val="VE Bullet List"/>
    <w:basedOn w:val="VENormal"/>
    <w:qFormat/>
    <w:pPr>
      <w:numPr>
        <w:ilvl w:val="0"/>
        <w:numId w:val="8"/>
      </w:numPr>
      <w:tabs>
        <w:tab w:val="clear" w:pos="720"/>
      </w:tabs>
      <w:spacing w:before="0" w:after="240"/>
      <w:ind w:hanging="720" w:start="1440" w:end="0"/>
    </w:pPr>
    <w:rPr/>
  </w:style>
  <w:style w:type="paragraph" w:styleId="VEFLI5">
    <w:name w:val="VE FLI .5"/>
    <w:basedOn w:val="VEBodyText"/>
    <w:qFormat/>
    <w:pPr>
      <w:ind w:firstLine="720" w:start="0" w:end="0"/>
    </w:pPr>
    <w:rPr/>
  </w:style>
  <w:style w:type="paragraph" w:styleId="VEFLI1">
    <w:name w:val="VE FLI 1"/>
    <w:basedOn w:val="VEBodyText"/>
    <w:qFormat/>
    <w:pPr>
      <w:ind w:firstLine="1440" w:start="0" w:end="0"/>
    </w:pPr>
    <w:rPr>
      <w:color w:val="000000"/>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Heading5">
    <w:name w:val="VE Heading 5"/>
    <w:basedOn w:val="VEBodyText"/>
    <w:next w:val="VEBodyText51"/>
    <w:qFormat/>
    <w:pPr>
      <w:ind w:firstLine="2160" w:start="0" w:end="0"/>
    </w:pPr>
    <w:rPr/>
  </w:style>
  <w:style w:type="paragraph" w:styleId="VEHeading6">
    <w:name w:val="VE Heading 6"/>
    <w:basedOn w:val="VEBodyText"/>
    <w:next w:val="VEBodyText6"/>
    <w:qFormat/>
    <w:pPr>
      <w:ind w:firstLine="2160" w:start="0" w:end="0"/>
    </w:pPr>
    <w:rPr/>
  </w:style>
  <w:style w:type="paragraph" w:styleId="VEHeading7">
    <w:name w:val="VE Heading 7"/>
    <w:basedOn w:val="VEBodyText"/>
    <w:next w:val="VEBodyText7"/>
    <w:qFormat/>
    <w:pPr>
      <w:ind w:firstLine="2160" w:start="0" w:end="0"/>
    </w:pPr>
    <w:rPr/>
  </w:style>
  <w:style w:type="paragraph" w:styleId="VEHeading8">
    <w:name w:val="VE Heading 8"/>
    <w:basedOn w:val="VEBodyText"/>
    <w:next w:val="VEBodyText8"/>
    <w:qFormat/>
    <w:pPr>
      <w:ind w:firstLine="2160" w:start="0" w:end="0"/>
    </w:pPr>
    <w:rPr/>
  </w:style>
  <w:style w:type="paragraph" w:styleId="VEHeading9">
    <w:name w:val="VE Heading 9"/>
    <w:basedOn w:val="VEBodyText"/>
    <w:next w:val="VEBodyText9"/>
    <w:qFormat/>
    <w:pPr>
      <w:ind w:firstLine="2160" w:start="0" w:end="0"/>
    </w:pPr>
    <w:rPr/>
  </w:style>
  <w:style w:type="paragraph" w:styleId="VENumbered1CTR">
    <w:name w:val="VE Numbered 1 CTR"/>
    <w:basedOn w:val="VEBodyText"/>
    <w:next w:val="VEBodyText1"/>
    <w:qFormat/>
    <w:pPr>
      <w:jc w:val="center"/>
    </w:pPr>
    <w:rPr/>
  </w:style>
  <w:style w:type="paragraph" w:styleId="VENumbered1">
    <w:name w:val="VE Numbered 1"/>
    <w:basedOn w:val="VENormal"/>
    <w:next w:val="VEBodyText1"/>
    <w:qFormat/>
    <w:pPr>
      <w:keepNext w:val="true"/>
      <w:numPr>
        <w:ilvl w:val="0"/>
        <w:numId w:val="13"/>
      </w:numPr>
      <w:spacing w:before="0" w:after="240"/>
      <w:jc w:val="center"/>
      <w:outlineLvl w:val="0"/>
    </w:pPr>
    <w:rPr>
      <w:b/>
      <w:bCs/>
    </w:rPr>
  </w:style>
  <w:style w:type="paragraph" w:styleId="VENumbered2">
    <w:name w:val="VE Numbered 2"/>
    <w:basedOn w:val="VENormal"/>
    <w:next w:val="VEBodyText2"/>
    <w:qFormat/>
    <w:pPr>
      <w:numPr>
        <w:ilvl w:val="0"/>
        <w:numId w:val="13"/>
      </w:numPr>
      <w:tabs>
        <w:tab w:val="clear" w:pos="720"/>
      </w:tabs>
      <w:spacing w:before="0" w:after="240"/>
      <w:ind w:firstLine="720" w:start="0" w:end="0"/>
      <w:outlineLvl w:val="1"/>
    </w:pPr>
    <w:rPr/>
  </w:style>
  <w:style w:type="paragraph" w:styleId="VENumbered3">
    <w:name w:val="VE Numbered 3"/>
    <w:basedOn w:val="VENormal"/>
    <w:next w:val="VEBodyText3"/>
    <w:qFormat/>
    <w:pPr>
      <w:numPr>
        <w:ilvl w:val="0"/>
        <w:numId w:val="13"/>
      </w:numPr>
      <w:tabs>
        <w:tab w:val="clear" w:pos="720"/>
      </w:tabs>
      <w:spacing w:before="0" w:after="240"/>
      <w:ind w:firstLine="720" w:start="720" w:end="0"/>
      <w:outlineLvl w:val="2"/>
    </w:pPr>
    <w:rPr/>
  </w:style>
  <w:style w:type="paragraph" w:styleId="VENumbered4">
    <w:name w:val="VE Numbered 4"/>
    <w:basedOn w:val="VENormal"/>
    <w:next w:val="VEBodyText4"/>
    <w:qFormat/>
    <w:pPr>
      <w:numPr>
        <w:ilvl w:val="0"/>
        <w:numId w:val="13"/>
      </w:numPr>
      <w:tabs>
        <w:tab w:val="clear" w:pos="720"/>
      </w:tabs>
      <w:spacing w:before="0" w:after="240"/>
      <w:ind w:firstLine="720" w:start="1440" w:end="0"/>
      <w:outlineLvl w:val="3"/>
    </w:pPr>
    <w:rPr/>
  </w:style>
  <w:style w:type="paragraph" w:styleId="VENumbered5">
    <w:name w:val="VE Numbered 5"/>
    <w:basedOn w:val="VENormal"/>
    <w:next w:val="VEBodyText51"/>
    <w:qFormat/>
    <w:pPr>
      <w:numPr>
        <w:ilvl w:val="0"/>
        <w:numId w:val="13"/>
      </w:numPr>
      <w:spacing w:before="0" w:after="240"/>
      <w:ind w:hanging="720" w:start="2880" w:end="0"/>
      <w:outlineLvl w:val="4"/>
    </w:pPr>
    <w:rPr/>
  </w:style>
  <w:style w:type="paragraph" w:styleId="VENumbered6">
    <w:name w:val="VE Numbered 6"/>
    <w:basedOn w:val="VENormal"/>
    <w:next w:val="VEBodyText6"/>
    <w:qFormat/>
    <w:pPr>
      <w:spacing w:before="0" w:after="240"/>
      <w:ind w:firstLine="2880" w:start="0" w:end="0"/>
      <w:outlineLvl w:val="5"/>
    </w:pPr>
    <w:rPr/>
  </w:style>
  <w:style w:type="paragraph" w:styleId="VENumbered7">
    <w:name w:val="VE Numbered 7"/>
    <w:basedOn w:val="VENormal"/>
    <w:next w:val="VEBodyText7"/>
    <w:qFormat/>
    <w:pPr>
      <w:spacing w:before="0" w:after="240"/>
      <w:ind w:firstLine="2880" w:start="0" w:end="0"/>
      <w:outlineLvl w:val="6"/>
    </w:pPr>
    <w:rPr/>
  </w:style>
  <w:style w:type="paragraph" w:styleId="VENumbered8">
    <w:name w:val="VE Numbered 8"/>
    <w:basedOn w:val="VENormal"/>
    <w:next w:val="VEBodyText8"/>
    <w:qFormat/>
    <w:pPr>
      <w:spacing w:before="0" w:after="240"/>
      <w:ind w:firstLine="2880" w:start="0" w:end="0"/>
      <w:outlineLvl w:val="7"/>
    </w:pPr>
    <w:rPr/>
  </w:style>
  <w:style w:type="paragraph" w:styleId="VENumbered9">
    <w:name w:val="VE Numbered 9"/>
    <w:basedOn w:val="VENormal"/>
    <w:next w:val="VEBodyText9"/>
    <w:qFormat/>
    <w:pPr>
      <w:spacing w:before="0" w:after="240"/>
      <w:ind w:firstLine="2880" w:start="0" w:end="0"/>
      <w:outlineLvl w:val="8"/>
    </w:pPr>
    <w:rPr/>
  </w:style>
  <w:style w:type="paragraph" w:styleId="VEBodyTextQuote5">
    <w:name w:val="VE Body Text Quote .5"/>
    <w:basedOn w:val="VENormal"/>
    <w:next w:val="VENormal"/>
    <w:qFormat/>
    <w:pPr>
      <w:spacing w:before="0" w:after="240"/>
      <w:ind w:hanging="0" w:start="720" w:end="720"/>
    </w:pPr>
    <w:rPr/>
  </w:style>
  <w:style w:type="paragraph" w:styleId="VEBodyTextQuote1">
    <w:name w:val="VE Body Text Quote 1"/>
    <w:basedOn w:val="VENormal"/>
    <w:next w:val="VENormal"/>
    <w:qFormat/>
    <w:pPr>
      <w:spacing w:before="0" w:after="240"/>
      <w:ind w:hanging="0" w:start="1440" w:end="1440"/>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igBlock1">
    <w:name w:val="VE Sig Block 1"/>
    <w:basedOn w:val="VENormal"/>
    <w:qFormat/>
    <w:pPr>
      <w:keepNext w:val="true"/>
      <w:tabs>
        <w:tab w:val="clear" w:pos="720"/>
        <w:tab w:val="right" w:pos="4320" w:leader="none"/>
        <w:tab w:val="left" w:pos="5040" w:leader="none"/>
        <w:tab w:val="right" w:pos="9360" w:leader="none"/>
      </w:tabs>
      <w:jc w:val="start"/>
    </w:pPr>
    <w:rPr/>
  </w:style>
  <w:style w:type="paragraph" w:styleId="VETable">
    <w:name w:val="VE Table"/>
    <w:basedOn w:val="VEBodyText"/>
    <w:next w:val="VEBodyText"/>
    <w:qFormat/>
    <w:pPr>
      <w:spacing w:before="60" w:after="60"/>
    </w:pPr>
    <w:rPr/>
  </w:style>
  <w:style w:type="paragraph" w:styleId="VETitleBoldCenter">
    <w:name w:val="VE Title Bold Center"/>
    <w:basedOn w:val="VENormal"/>
    <w:next w:val="VESubTitle"/>
    <w:qFormat/>
    <w:pPr>
      <w:keepNext w:val="true"/>
      <w:spacing w:before="0" w:after="240"/>
      <w:jc w:val="center"/>
    </w:pPr>
    <w:rPr>
      <w:b/>
      <w:bCs/>
      <w:sz w:val="28"/>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Footer">
    <w:name w:val="footer"/>
    <w:basedOn w:val="Normal"/>
    <w:pPr>
      <w:tabs>
        <w:tab w:val="clear" w:pos="720"/>
        <w:tab w:val="center" w:pos="4680" w:leader="none"/>
        <w:tab w:val="right" w:pos="9360" w:leader="none"/>
      </w:tabs>
    </w:pPr>
    <w:rPr/>
  </w:style>
  <w:style w:type="paragraph" w:styleId="VEAlignedText">
    <w:name w:val="VE Aligned Text"/>
    <w:basedOn w:val="VENormal"/>
    <w:next w:val="Normal"/>
    <w:qFormat/>
    <w:pPr>
      <w:tabs>
        <w:tab w:val="clear" w:pos="720"/>
        <w:tab w:val="center" w:pos="4680" w:leader="none"/>
        <w:tab w:val="right" w:pos="9360" w:leader="none"/>
      </w:tabs>
    </w:pPr>
    <w:rPr/>
  </w:style>
  <w:style w:type="paragraph" w:styleId="VEBodyTextDoubleFLI">
    <w:name w:val="VE Body Text Double FLI"/>
    <w:basedOn w:val="VENormal"/>
    <w:qFormat/>
    <w:pPr>
      <w:spacing w:lineRule="auto" w:line="480" w:before="0" w:after="240"/>
      <w:ind w:firstLine="720" w:start="0" w:end="0"/>
    </w:pPr>
    <w:rPr/>
  </w:style>
  <w:style w:type="paragraph" w:styleId="VEBodyTextFLI1">
    <w:name w:val="VE Body Text FLI 1"/>
    <w:basedOn w:val="VENormal"/>
    <w:qFormat/>
    <w:pPr>
      <w:spacing w:before="0" w:after="240"/>
      <w:ind w:firstLine="1440" w:start="0" w:end="0"/>
    </w:pPr>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umbered">
    <w:name w:val="VE Body Text Numbered"/>
    <w:basedOn w:val="VENormal"/>
    <w:next w:val="VEBodyText"/>
    <w:qFormat/>
    <w:pPr>
      <w:spacing w:before="0" w:after="240"/>
    </w:pPr>
    <w:rPr/>
  </w:style>
  <w:style w:type="paragraph" w:styleId="VEHangingIndent">
    <w:name w:val="VE Hanging Indent"/>
    <w:basedOn w:val="VENormal"/>
    <w:qFormat/>
    <w:pPr>
      <w:spacing w:before="0" w:after="240"/>
      <w:ind w:hanging="720" w:start="720" w:end="0"/>
    </w:pPr>
    <w:rPr/>
  </w:style>
  <w:style w:type="paragraph" w:styleId="VEInsideAddressNS">
    <w:name w:val="VE Inside Address NS"/>
    <w:basedOn w:val="VEBodyText"/>
    <w:qFormat/>
    <w:pPr>
      <w:spacing w:before="0" w:after="0"/>
      <w:jc w:val="start"/>
    </w:pPr>
    <w:rPr/>
  </w:style>
  <w:style w:type="paragraph" w:styleId="VEInsideAddress">
    <w:name w:val="VE Inside Address"/>
    <w:basedOn w:val="VEBodyText"/>
    <w:qFormat/>
    <w:pPr>
      <w:jc w:val="start"/>
    </w:pPr>
    <w:rPr/>
  </w:style>
  <w:style w:type="paragraph" w:styleId="VELeftIndentHanging">
    <w:name w:val="VE Left Indent Hanging"/>
    <w:basedOn w:val="VENormal"/>
    <w:qFormat/>
    <w:pPr>
      <w:spacing w:before="0" w:after="240"/>
      <w:ind w:hanging="720" w:start="1440" w:end="0"/>
    </w:pPr>
    <w:rPr/>
  </w:style>
  <w:style w:type="paragraph" w:styleId="VESigBlock2">
    <w:name w:val="VE Sig Block 2"/>
    <w:basedOn w:val="VENormal"/>
    <w:qFormat/>
    <w:pPr>
      <w:tabs>
        <w:tab w:val="clear" w:pos="720"/>
        <w:tab w:val="left" w:pos="5400" w:leader="none"/>
        <w:tab w:val="right" w:pos="9360" w:leader="none"/>
      </w:tabs>
      <w:jc w:val="start"/>
    </w:pPr>
    <w:rPr/>
  </w:style>
  <w:style w:type="paragraph" w:styleId="VETable123">
    <w:name w:val="VE Table 123"/>
    <w:basedOn w:val="VENormal"/>
    <w:qFormat/>
    <w:pPr>
      <w:numPr>
        <w:ilvl w:val="0"/>
        <w:numId w:val="4"/>
      </w:numPr>
      <w:tabs>
        <w:tab w:val="clear" w:pos="720"/>
      </w:tabs>
    </w:pPr>
    <w:rPr/>
  </w:style>
  <w:style w:type="paragraph" w:styleId="VETableABC">
    <w:name w:val="VE Table ABC"/>
    <w:basedOn w:val="VENormal"/>
    <w:qFormat/>
    <w:pPr>
      <w:numPr>
        <w:ilvl w:val="0"/>
        <w:numId w:val="5"/>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BodyText2">
    <w:name w:val="Body Text 2"/>
    <w:basedOn w:val="Normal"/>
    <w:qFormat/>
    <w:pPr/>
    <w:rPr>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V&amp;E MEMO Letterhead</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2001-11-16T22:42:00Z</dcterms:created>
  <dc:creator>PC Tech Desk</dc:creator>
  <dc:description/>
  <dc:language>en-CA</dc:language>
  <cp:lastModifiedBy>mkeesler</cp:lastModifiedBy>
  <cp:lastPrinted>2001-11-16T19:17:00Z</cp:lastPrinted>
  <dcterms:modified xsi:type="dcterms:W3CDTF">2001-11-16T23:27:00Z</dcterms:modified>
  <cp:revision>8</cp:revision>
  <dc:subject/>
  <dc:title>  </dc:title>
</cp:coreProperties>
</file>