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outlineLvl w:val="0"/>
        <w:rPr/>
      </w:pPr>
      <w:r>
        <w:rPr/>
        <w:t>Counterparty/Permitted Transaction Matrix</w:t>
      </w:r>
    </w:p>
    <w:p>
      <w:pPr>
        <w:pStyle w:val="Heading"/>
        <w:rPr/>
      </w:pPr>
      <w:r>
        <w:rPr/>
        <w:t>for financial trading on grains/meats</w:t>
      </w:r>
      <w:r>
        <w:rPr>
          <w:rStyle w:val="FootnoteCharacters"/>
          <w:rStyle w:val="FootnoteReference"/>
          <w:sz w:val="24"/>
        </w:rPr>
        <w:footnoteReference w:id="2"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360" w:after="0"/>
        <w:ind w:hanging="360" w:start="360" w:end="0"/>
        <w:rPr>
          <w:sz w:val="24"/>
        </w:rPr>
      </w:pPr>
      <w:r>
        <w:rPr>
          <w:sz w:val="24"/>
        </w:rPr>
        <w:t>Rules below assume Enron entity is licensed ATOM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Universal rule:  Enron entity is "offeror" of all trade options</w:t>
      </w:r>
    </w:p>
    <w:p>
      <w:pPr>
        <w:pStyle w:val="Normal"/>
        <w:spacing w:before="12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rPr>
          <w:sz w:val="24"/>
        </w:rPr>
      </w:pPr>
      <w:r>
        <w:rPr>
          <w:sz w:val="24"/>
        </w:rPr>
        <w:t>Considerations for each counterparty ("CP"):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440" w:leader="none"/>
        </w:tabs>
        <w:spacing w:before="120" w:after="0"/>
        <w:ind w:hanging="1080" w:start="2160" w:end="0"/>
        <w:rPr>
          <w:sz w:val="24"/>
        </w:rPr>
      </w:pPr>
      <w:r>
        <w:rPr>
          <w:sz w:val="24"/>
        </w:rPr>
        <w:t>Is CP an ESP or non-ESP? ("eligible swap participant"</w:t>
      </w:r>
      <w:r>
        <w:rPr>
          <w:rStyle w:val="FootnoteCharacters"/>
          <w:rStyle w:val="FootnoteReference"/>
          <w:sz w:val="24"/>
        </w:rPr>
        <w:footnoteReference w:id="3"/>
      </w:r>
      <w:r>
        <w:rPr>
          <w:sz w:val="24"/>
        </w:rPr>
        <w:t>)</w:t>
      </w:r>
    </w:p>
    <w:p>
      <w:pPr>
        <w:pStyle w:val="Normal"/>
        <w:numPr>
          <w:ilvl w:val="2"/>
          <w:numId w:val="2"/>
        </w:numPr>
        <w:tabs>
          <w:tab w:val="clear" w:pos="720"/>
          <w:tab w:val="left" w:pos="1440" w:leader="none"/>
        </w:tabs>
        <w:spacing w:before="120" w:after="0"/>
        <w:ind w:hanging="1080" w:start="2160" w:end="0"/>
        <w:rPr>
          <w:sz w:val="24"/>
        </w:rPr>
      </w:pPr>
      <w:r>
        <w:rPr>
          <w:sz w:val="24"/>
        </w:rPr>
        <w:t>Is  CP a CITB or non-CITB? ("commercial in the business"</w:t>
      </w:r>
      <w:r>
        <w:rPr>
          <w:rStyle w:val="FootnoteCharacters"/>
          <w:rStyle w:val="FootnoteReference"/>
          <w:sz w:val="24"/>
        </w:rPr>
        <w:footnoteReference w:id="4"/>
      </w:r>
      <w:r>
        <w:rPr>
          <w:sz w:val="24"/>
        </w:rPr>
        <w:t>)</w:t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2160" w:leader="none"/>
        </w:tabs>
        <w:spacing w:before="120" w:after="0"/>
        <w:ind w:hanging="1080" w:start="2880" w:end="0"/>
        <w:rPr>
          <w:sz w:val="24"/>
        </w:rPr>
      </w:pPr>
      <w:r>
        <w:rPr>
          <w:sz w:val="24"/>
        </w:rPr>
        <w:t>If CP is a CITB, is CP a producer or non-producer?</w:t>
      </w:r>
    </w:p>
    <w:p>
      <w:pPr>
        <w:pStyle w:val="Normal"/>
        <w:spacing w:before="120" w:after="0"/>
        <w:ind w:start="2520" w:end="0"/>
        <w:rPr>
          <w:sz w:val="24"/>
        </w:rPr>
      </w:pPr>
      <w:r>
        <w:rPr>
          <w:sz w:val="24"/>
        </w:rPr>
      </w:r>
    </w:p>
    <w:p>
      <w:pPr>
        <w:pStyle w:val="Normal"/>
        <w:spacing w:before="120" w:after="0"/>
        <w:ind w:start="2520" w:end="0"/>
        <w:rPr>
          <w:sz w:val="24"/>
        </w:rPr>
      </w:pPr>
      <w:r>
        <w:rPr>
          <w:sz w:val="24"/>
        </w:rPr>
      </w:r>
    </w:p>
    <w:tbl>
      <w:tblPr>
        <w:tblW w:w="485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65"/>
        <w:gridCol w:w="1135"/>
        <w:gridCol w:w="4079"/>
      </w:tblGrid>
      <w:tr>
        <w:trPr/>
        <w:tc>
          <w:tcPr>
            <w:tcW w:w="3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Counterparty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80" w:after="80"/>
              <w:ind w:hanging="0" w:start="0"/>
              <w:rPr>
                <w:sz w:val="22"/>
              </w:rPr>
            </w:pPr>
            <w:r>
              <w:rPr>
                <w:sz w:val="22"/>
              </w:rPr>
              <w:t>SWAPS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3732" w:leader="none"/>
              </w:tabs>
              <w:spacing w:before="80" w:after="80"/>
              <w:ind w:hanging="0" w:start="0"/>
              <w:rPr>
                <w:sz w:val="22"/>
              </w:rPr>
            </w:pPr>
            <w:r>
              <w:rPr>
                <w:sz w:val="22"/>
              </w:rPr>
              <w:t>Options</w:t>
            </w:r>
          </w:p>
        </w:tc>
      </w:tr>
      <w:tr>
        <w:trPr/>
        <w:tc>
          <w:tcPr>
            <w:tcW w:w="3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ESP </w:t>
            </w:r>
            <w:r>
              <w:rPr>
                <w:u w:val="single"/>
              </w:rPr>
              <w:t>and</w:t>
            </w:r>
            <w:r>
              <w:rPr/>
              <w:t xml:space="preserve"> CITB </w:t>
            </w:r>
            <w:r>
              <w:rPr>
                <w:u w:val="single"/>
              </w:rPr>
              <w:t>and</w:t>
            </w:r>
            <w:r>
              <w:rPr/>
              <w:t xml:space="preserve"> non-producer 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/>
            </w:pPr>
            <w:r>
              <w:rPr/>
              <w:t>Yes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372" w:leader="none"/>
              </w:tabs>
              <w:spacing w:before="80" w:after="80"/>
              <w:rPr/>
            </w:pPr>
            <w:r>
              <w:rPr/>
              <w:t>Yes</w:t>
            </w:r>
          </w:p>
        </w:tc>
      </w:tr>
      <w:tr>
        <w:trPr/>
        <w:tc>
          <w:tcPr>
            <w:tcW w:w="3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ESP </w:t>
            </w:r>
            <w:r>
              <w:rPr>
                <w:u w:val="single"/>
              </w:rPr>
              <w:t>and</w:t>
            </w:r>
            <w:r>
              <w:rPr/>
              <w:t xml:space="preserve"> CITB </w:t>
            </w:r>
            <w:r>
              <w:rPr>
                <w:u w:val="single"/>
              </w:rPr>
              <w:t>and</w:t>
            </w:r>
            <w:r>
              <w:rPr/>
              <w:t xml:space="preserve"> producer with net worth </w:t>
            </w:r>
            <w:r>
              <w:rPr>
                <w:rFonts w:eastAsia="Symbol" w:cs="Symbol" w:ascii="Symbol" w:hAnsi="Symbol"/>
              </w:rPr>
              <w:sym w:font="Symbol" w:char="f0b3"/>
            </w:r>
            <w:r>
              <w:rPr/>
              <w:t>$10 million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/>
            </w:pPr>
            <w:r>
              <w:rPr/>
              <w:t>Yes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>Yes</w:t>
            </w:r>
          </w:p>
        </w:tc>
      </w:tr>
      <w:tr>
        <w:trPr/>
        <w:tc>
          <w:tcPr>
            <w:tcW w:w="3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ESP </w:t>
            </w:r>
            <w:r>
              <w:rPr>
                <w:u w:val="single"/>
              </w:rPr>
              <w:t>and</w:t>
            </w:r>
            <w:r>
              <w:rPr/>
              <w:t xml:space="preserve"> CITB </w:t>
            </w:r>
            <w:r>
              <w:rPr>
                <w:u w:val="single"/>
              </w:rPr>
              <w:t>and</w:t>
            </w:r>
            <w:r>
              <w:rPr/>
              <w:t xml:space="preserve"> producer with net worth &lt; $10 million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/>
            </w:pPr>
            <w:r>
              <w:rPr/>
              <w:t>Yes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>Yes, but subject to "producer restrictions"</w:t>
            </w:r>
            <w:r>
              <w:rPr>
                <w:rStyle w:val="FootnoteCharacters"/>
                <w:rStyle w:val="FootnoteReference"/>
                <w:sz w:val="24"/>
              </w:rPr>
              <w:footnoteReference w:id="5"/>
            </w:r>
          </w:p>
        </w:tc>
      </w:tr>
      <w:tr>
        <w:trPr/>
        <w:tc>
          <w:tcPr>
            <w:tcW w:w="3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ESP </w:t>
            </w:r>
            <w:r>
              <w:rPr>
                <w:u w:val="single"/>
              </w:rPr>
              <w:t>and</w:t>
            </w:r>
            <w:r>
              <w:rPr/>
              <w:t xml:space="preserve"> non-CITB 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/>
            </w:pPr>
            <w:r>
              <w:rPr/>
              <w:t>Yes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>No</w:t>
            </w:r>
          </w:p>
        </w:tc>
      </w:tr>
      <w:tr>
        <w:trPr/>
        <w:tc>
          <w:tcPr>
            <w:tcW w:w="3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Non-ESP </w:t>
            </w:r>
            <w:r>
              <w:rPr>
                <w:u w:val="single"/>
              </w:rPr>
              <w:t>and</w:t>
            </w:r>
            <w:r>
              <w:rPr/>
              <w:t xml:space="preserve"> CITB </w:t>
            </w:r>
            <w:r>
              <w:rPr>
                <w:u w:val="single"/>
              </w:rPr>
              <w:t>and</w:t>
            </w:r>
            <w:r>
              <w:rPr/>
              <w:t xml:space="preserve"> non-producer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/>
            </w:pPr>
            <w:r>
              <w:rPr/>
              <w:t>No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>Yes</w:t>
            </w:r>
          </w:p>
        </w:tc>
      </w:tr>
      <w:tr>
        <w:trPr/>
        <w:tc>
          <w:tcPr>
            <w:tcW w:w="3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Non-ESP </w:t>
            </w:r>
            <w:r>
              <w:rPr>
                <w:u w:val="single"/>
              </w:rPr>
              <w:t>and</w:t>
            </w:r>
            <w:r>
              <w:rPr/>
              <w:t xml:space="preserve"> CITB </w:t>
            </w:r>
            <w:r>
              <w:rPr>
                <w:u w:val="single"/>
              </w:rPr>
              <w:t>and</w:t>
            </w:r>
            <w:r>
              <w:rPr/>
              <w:t xml:space="preserve">  producer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/>
            </w:pPr>
            <w:r>
              <w:rPr/>
              <w:t>No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>
                <w:vertAlign w:val="superscript"/>
              </w:rPr>
            </w:pPr>
            <w:r>
              <w:rPr/>
              <w:t>Yes, but subject to "producer restrictions"</w:t>
            </w:r>
            <w:r>
              <w:rPr>
                <w:sz w:val="24"/>
                <w:vertAlign w:val="superscript"/>
              </w:rPr>
              <w:t>4</w:t>
            </w:r>
          </w:p>
        </w:tc>
      </w:tr>
      <w:tr>
        <w:trPr/>
        <w:tc>
          <w:tcPr>
            <w:tcW w:w="38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Non-ESP </w:t>
            </w:r>
            <w:r>
              <w:rPr>
                <w:u w:val="single"/>
              </w:rPr>
              <w:t>and</w:t>
            </w:r>
            <w:r>
              <w:rPr/>
              <w:t xml:space="preserve"> Non-CITB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center"/>
              <w:rPr/>
            </w:pPr>
            <w:r>
              <w:rPr/>
              <w:t>No</w:t>
            </w:r>
          </w:p>
        </w:tc>
        <w:tc>
          <w:tcPr>
            <w:tcW w:w="40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jc w:val="both"/>
              <w:rPr/>
            </w:pPr>
            <w:r>
              <w:rPr/>
              <w:t>No</w:t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Heading"/>
        <w:numPr>
          <w:ilvl w:val="0"/>
          <w:numId w:val="0"/>
        </w:numPr>
        <w:outlineLvl w:val="0"/>
        <w:rPr/>
      </w:pPr>
      <w:r>
        <w:rPr/>
        <w:t>Counterparty/Permitted Transaction Matrix</w:t>
      </w:r>
    </w:p>
    <w:p>
      <w:pPr>
        <w:pStyle w:val="Heading"/>
        <w:rPr/>
      </w:pPr>
      <w:r>
        <w:rPr/>
        <w:t xml:space="preserve">for financial trading on grains/meats </w:t>
      </w:r>
    </w:p>
    <w:p>
      <w:pPr>
        <w:pStyle w:val="Heading"/>
        <w:rPr/>
      </w:pPr>
      <w:r>
        <w:rPr/>
        <w:t>(cont’d)</w:t>
      </w:r>
    </w:p>
    <w:p>
      <w:pPr>
        <w:pStyle w:val="Heading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spacing w:before="360" w:after="0"/>
        <w:ind w:hanging="360" w:start="360" w:end="0"/>
        <w:rPr>
          <w:sz w:val="24"/>
        </w:rPr>
      </w:pPr>
      <w:r>
        <w:rPr>
          <w:sz w:val="24"/>
        </w:rPr>
        <w:t xml:space="preserve">Rules below assume Enron entity is </w:t>
      </w:r>
      <w:r>
        <w:rPr>
          <w:sz w:val="24"/>
          <w:u w:val="single"/>
        </w:rPr>
        <w:t>NOT</w:t>
      </w:r>
      <w:r>
        <w:rPr>
          <w:sz w:val="24"/>
        </w:rPr>
        <w:t xml:space="preserve"> licensed ATOM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Universal rule:  Enron entity is "offeror" of all trade options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3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28"/>
        <w:gridCol w:w="1800"/>
        <w:gridCol w:w="3720"/>
      </w:tblGrid>
      <w:tr>
        <w:trPr/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80" w:after="80"/>
              <w:ind w:hanging="0" w:start="0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80" w:after="80"/>
              <w:ind w:hanging="0" w:start="0"/>
              <w:rPr>
                <w:sz w:val="22"/>
              </w:rPr>
            </w:pPr>
            <w:r>
              <w:rPr>
                <w:sz w:val="22"/>
              </w:rPr>
              <w:t>SWAPS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80" w:after="80"/>
              <w:ind w:hanging="0" w:start="0"/>
              <w:rPr>
                <w:sz w:val="22"/>
              </w:rPr>
            </w:pPr>
            <w:r>
              <w:rPr>
                <w:sz w:val="22"/>
              </w:rPr>
              <w:t>Options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ESP </w:t>
            </w:r>
            <w:r>
              <w:rPr>
                <w:u w:val="single"/>
              </w:rPr>
              <w:t>and</w:t>
            </w:r>
            <w:r>
              <w:rPr/>
              <w:t xml:space="preserve"> CITB with net worth ≥ $10 million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/>
            </w:pPr>
            <w:r>
              <w:rPr/>
              <w:t>Yes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/>
            </w:pPr>
            <w:r>
              <w:rPr/>
              <w:t>Yes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ESP </w:t>
            </w:r>
            <w:r>
              <w:rPr>
                <w:u w:val="single"/>
              </w:rPr>
              <w:t>and</w:t>
            </w:r>
            <w:r>
              <w:rPr/>
              <w:t xml:space="preserve"> CITB with net worth &lt; $10 million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/>
            </w:pPr>
            <w:r>
              <w:rPr/>
              <w:t xml:space="preserve">Yes 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/>
            </w:pPr>
            <w:r>
              <w:rPr/>
              <w:t>No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ESP </w:t>
            </w:r>
            <w:r>
              <w:rPr>
                <w:u w:val="single"/>
              </w:rPr>
              <w:t>and</w:t>
            </w:r>
            <w:r>
              <w:rPr/>
              <w:t xml:space="preserve"> non-CITB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/>
            </w:pPr>
            <w:r>
              <w:rPr/>
              <w:t>Yes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  <w:rPr/>
            </w:pPr>
            <w:r>
              <w:rPr/>
              <w:t>No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Non-ESP </w:t>
            </w:r>
            <w:r>
              <w:rPr>
                <w:u w:val="single"/>
              </w:rPr>
              <w:t>and</w:t>
            </w:r>
            <w:r>
              <w:rPr/>
              <w:t xml:space="preserve"> CITB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>No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>No</w:t>
            </w:r>
          </w:p>
        </w:tc>
      </w:tr>
      <w:tr>
        <w:trPr/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 xml:space="preserve">Non-ESP </w:t>
            </w:r>
            <w:r>
              <w:rPr>
                <w:u w:val="single"/>
              </w:rPr>
              <w:t>and</w:t>
            </w:r>
            <w:r>
              <w:rPr/>
              <w:t xml:space="preserve"> non-CITB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>No</w:t>
            </w:r>
          </w:p>
        </w:tc>
        <w:tc>
          <w:tcPr>
            <w:tcW w:w="3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80"/>
              <w:rPr/>
            </w:pPr>
            <w:r>
              <w:rPr/>
              <w:t>No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footerReference w:type="default" r:id="rId2"/>
      <w:footnotePr>
        <w:numFmt w:val="decimal"/>
      </w:footnotePr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0"/>
      <w:ind w:end="36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/mnt/main-storage/datasets/enron-docs/doc/Counterparty_Matrix2.doc</w:t>
    </w:r>
    <w:r>
      <w:rPr>
        <w:sz w:val="12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0485" cy="1606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55pt;height:12.65pt;mso-wrap-distance-left:0pt;mso-wrap-distance-right:0pt;mso-wrap-distance-top:0pt;mso-wrap-distance-bottom:0pt;margin-top:0.05pt;mso-position-vertical-relative:text;margin-left:462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FootnoteCharacters"/>
        </w:rPr>
        <w:footnoteRef/>
      </w:r>
      <w:r>
        <w:rPr>
          <w:sz w:val="24"/>
        </w:rPr>
        <w:t xml:space="preserve"> </w:t>
      </w:r>
      <w:r>
        <w:rPr>
          <w:sz w:val="24"/>
        </w:rPr>
        <w:t>See attached Exhibit A for complete list of "enumerated commodities"</w:t>
      </w:r>
    </w:p>
    <w:p>
      <w:pPr>
        <w:pStyle w:val="FootnoteText"/>
        <w:jc w:val="both"/>
        <w:rPr>
          <w:sz w:val="24"/>
        </w:rPr>
      </w:pPr>
      <w:r>
        <w:rPr>
          <w:sz w:val="24"/>
        </w:rPr>
      </w:r>
    </w:p>
  </w:footnote>
  <w:footnote w:id="3">
    <w:p>
      <w:pPr>
        <w:pStyle w:val="FootnoteText"/>
        <w:jc w:val="both"/>
        <w:rPr/>
      </w:pPr>
      <w:r>
        <w:rPr>
          <w:rStyle w:val="FootnoteCharacters"/>
        </w:rPr>
        <w:footnoteRef/>
      </w:r>
      <w:r>
        <w:rPr>
          <w:sz w:val="24"/>
        </w:rPr>
        <w:t xml:space="preserve"> </w:t>
      </w:r>
      <w:r>
        <w:rPr>
          <w:sz w:val="24"/>
        </w:rPr>
        <w:t>See attached Exhibit B for complete list of "eligible swap participants"</w:t>
      </w:r>
    </w:p>
    <w:p>
      <w:pPr>
        <w:pStyle w:val="FootnoteText"/>
        <w:jc w:val="both"/>
        <w:rPr>
          <w:sz w:val="24"/>
        </w:rPr>
      </w:pPr>
      <w:r>
        <w:rPr>
          <w:sz w:val="24"/>
        </w:rPr>
      </w:r>
    </w:p>
  </w:footnote>
  <w:footnote w:id="4">
    <w:p>
      <w:pPr>
        <w:pStyle w:val="FootnoteText"/>
        <w:jc w:val="both"/>
        <w:rPr/>
      </w:pPr>
      <w:r>
        <w:rPr>
          <w:rStyle w:val="FootnoteCharacters"/>
        </w:rPr>
        <w:footnoteRef/>
      </w:r>
      <w:r>
        <w:rPr>
          <w:sz w:val="24"/>
        </w:rPr>
        <w:t xml:space="preserve"> </w:t>
      </w:r>
      <w:r>
        <w:rPr>
          <w:sz w:val="24"/>
        </w:rPr>
        <w:t>"</w:t>
      </w:r>
      <w:r>
        <w:rPr>
          <w:sz w:val="24"/>
          <w:u w:val="single"/>
        </w:rPr>
        <w:t>Commercial in the business</w:t>
      </w:r>
      <w:r>
        <w:rPr>
          <w:sz w:val="24"/>
        </w:rPr>
        <w:t>"  Defined in regulations as: "producer, processor, or commercial user of, or a merchant handling, the commodity" that enters into option "solely for purposes relating to its business as such." 17 CFR 32.4(a).</w:t>
      </w:r>
    </w:p>
    <w:p>
      <w:pPr>
        <w:pStyle w:val="FootnoteText"/>
        <w:jc w:val="both"/>
        <w:rPr>
          <w:sz w:val="24"/>
        </w:rPr>
      </w:pPr>
      <w:r>
        <w:rPr>
          <w:sz w:val="24"/>
        </w:rPr>
      </w:r>
    </w:p>
  </w:footnote>
  <w:footnote w:id="5">
    <w:p>
      <w:pPr>
        <w:pStyle w:val="Normal"/>
        <w:jc w:val="both"/>
        <w:rPr/>
      </w:pPr>
      <w:r>
        <w:rPr>
          <w:rStyle w:val="FootnoteCharacters"/>
        </w:rPr>
        <w:footnoteRef/>
      </w:r>
      <w:r>
        <w:rPr>
          <w:sz w:val="24"/>
        </w:rPr>
        <w:t xml:space="preserve"> </w:t>
      </w:r>
      <w:r>
        <w:rPr>
          <w:sz w:val="24"/>
        </w:rPr>
        <w:t>"Producer restrictions" are as follows:</w:t>
      </w:r>
    </w:p>
    <w:p>
      <w:pPr>
        <w:pStyle w:val="Normal"/>
        <w:ind w:start="480" w:end="0"/>
        <w:jc w:val="both"/>
        <w:rPr/>
      </w:pPr>
      <w:r>
        <w:rPr>
          <w:sz w:val="24"/>
        </w:rPr>
        <w:t xml:space="preserve">Producer </w:t>
      </w:r>
      <w:r>
        <w:rPr>
          <w:sz w:val="24"/>
          <w:u w:val="single"/>
        </w:rPr>
        <w:t>can</w:t>
      </w:r>
      <w:r>
        <w:rPr>
          <w:sz w:val="24"/>
        </w:rPr>
        <w:t xml:space="preserve"> be option </w:t>
      </w:r>
      <w:r>
        <w:rPr>
          <w:sz w:val="24"/>
          <w:u w:val="single"/>
        </w:rPr>
        <w:t>buyer</w:t>
      </w:r>
      <w:r>
        <w:rPr>
          <w:sz w:val="24"/>
        </w:rPr>
        <w:t>.</w:t>
      </w:r>
    </w:p>
    <w:p>
      <w:pPr>
        <w:pStyle w:val="FootnoteText"/>
        <w:ind w:start="480" w:end="0"/>
        <w:jc w:val="both"/>
        <w:rPr/>
      </w:pPr>
      <w:r>
        <w:rPr>
          <w:sz w:val="24"/>
        </w:rPr>
        <w:t xml:space="preserve">Producer </w:t>
      </w:r>
      <w:r>
        <w:rPr>
          <w:sz w:val="24"/>
          <w:u w:val="single"/>
        </w:rPr>
        <w:t>can</w:t>
      </w:r>
      <w:r>
        <w:rPr>
          <w:sz w:val="24"/>
        </w:rPr>
        <w:t xml:space="preserve"> </w:t>
      </w:r>
      <w:r>
        <w:rPr>
          <w:sz w:val="24"/>
          <w:u w:val="single"/>
        </w:rPr>
        <w:t>not</w:t>
      </w:r>
      <w:r>
        <w:rPr>
          <w:sz w:val="24"/>
        </w:rPr>
        <w:t xml:space="preserve"> be option </w:t>
      </w:r>
      <w:r>
        <w:rPr>
          <w:sz w:val="24"/>
          <w:u w:val="single"/>
        </w:rPr>
        <w:t>seller</w:t>
      </w:r>
      <w:r>
        <w:rPr>
          <w:sz w:val="24"/>
        </w:rPr>
        <w:t xml:space="preserve"> </w:t>
      </w:r>
      <w:r>
        <w:rPr>
          <w:sz w:val="24"/>
          <w:u w:val="single"/>
        </w:rPr>
        <w:t>except</w:t>
      </w:r>
      <w:r>
        <w:rPr>
          <w:sz w:val="24"/>
        </w:rPr>
        <w:t xml:space="preserve"> under a collar transaction meeting the following requirements: (a) producer sells a call and buys a put; (b) call and put run and expire concurrently, and (c) call delivery volume does not exceed put delivery volume.  Producer can </w:t>
      </w:r>
      <w:r>
        <w:rPr>
          <w:sz w:val="24"/>
          <w:u w:val="single"/>
        </w:rPr>
        <w:t>not</w:t>
      </w:r>
      <w:r>
        <w:rPr>
          <w:sz w:val="24"/>
        </w:rPr>
        <w:t xml:space="preserve"> be put seller/call buyer. 17 CFR 32.13(a)(5).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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</w:rPr>
    </w:lvl>
    <w:lvl w:ilvl="1">
      <w:start w:val="0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0"/>
      <w:numFmt w:val="bullet"/>
      <w:lvlText w:val=""/>
      <w:lvlJc w:val="start"/>
      <w:pPr>
        <w:tabs>
          <w:tab w:val="num" w:pos="72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72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80" w:after="80"/>
      <w:jc w:val="center"/>
      <w:outlineLvl w:val="0"/>
    </w:pPr>
    <w:rPr>
      <w:b/>
      <w:bCs/>
      <w:smallCaps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Symbol" w:hAnsi="Symbol" w:eastAsia="Times New Roman" w:cs="Times New Roman"/>
    </w:rPr>
  </w:style>
  <w:style w:type="character" w:styleId="WW8Num2z2">
    <w:name w:val="WW8Num2z2"/>
    <w:qFormat/>
    <w:rPr>
      <w:rFonts w:ascii="Wingdings" w:hAnsi="Wingdings" w:eastAsia="Times New Roman" w:cs="Times New Roman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2z5">
    <w:name w:val="WW8Num2z5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mallCap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2000-08-29T11:21:00Z</dcterms:created>
  <dc:creator>bwhiteh</dc:creator>
  <dc:description/>
  <dc:language>en-CA</dc:language>
  <cp:lastModifiedBy>rbruce2</cp:lastModifiedBy>
  <cp:lastPrinted>2000-08-29T15:03:00Z</cp:lastPrinted>
  <dcterms:modified xsi:type="dcterms:W3CDTF">2000-08-29T17:41:00Z</dcterms:modified>
  <cp:revision>15</cp:revision>
  <dc:subject/>
  <dc:title>COUNTERPARTY/PERMITTED TRANSACTION MATRIX</dc:title>
</cp:coreProperties>
</file>