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sz w:val="24"/>
        </w:rPr>
      </w:pPr>
      <w:r>
        <w:rPr>
          <w:rFonts w:cs="Arial" w:ascii="Arial" w:hAnsi="Arial"/>
          <w:sz w:val="24"/>
        </w:rPr>
        <w:t>Testimony of Rick Counihan of greenmountain.com</w:t>
      </w:r>
    </w:p>
    <w:p>
      <w:pPr>
        <w:pStyle w:val="Normal"/>
        <w:jc w:val="center"/>
        <w:rPr>
          <w:rFonts w:ascii="Arial" w:hAnsi="Arial" w:cs="Arial"/>
          <w:sz w:val="24"/>
        </w:rPr>
      </w:pPr>
      <w:r>
        <w:rPr>
          <w:rFonts w:cs="Arial" w:ascii="Arial" w:hAnsi="Arial"/>
          <w:sz w:val="24"/>
        </w:rPr>
        <w:t>in Support of the Gas OII Comprehensive Settlement</w:t>
      </w:r>
    </w:p>
    <w:p>
      <w:pPr>
        <w:pStyle w:val="Normal"/>
        <w:jc w:val="center"/>
        <w:rPr>
          <w:rFonts w:ascii="CG Times" w:hAnsi="CG Times" w:cs="CG Times"/>
          <w:sz w:val="24"/>
        </w:rPr>
      </w:pPr>
      <w:r>
        <w:rPr>
          <w:rFonts w:cs="CG Times" w:ascii="CG Times" w:hAnsi="CG Times"/>
          <w:sz w:val="24"/>
        </w:rPr>
      </w:r>
    </w:p>
    <w:p>
      <w:pPr>
        <w:pStyle w:val="Normal"/>
        <w:jc w:val="center"/>
        <w:rPr>
          <w:rFonts w:ascii="CG Times" w:hAnsi="CG Times" w:cs="CG Times"/>
          <w:sz w:val="24"/>
        </w:rPr>
      </w:pPr>
      <w:r>
        <w:rPr>
          <w:rFonts w:cs="CG Times" w:ascii="CG Times" w:hAnsi="CG Times"/>
          <w:sz w:val="24"/>
        </w:rPr>
        <w:t xml:space="preserve">Draft: 2000April28 </w:t>
      </w:r>
      <w:r>
        <w:rPr>
          <w:rFonts w:cs="CG Times" w:ascii="CG Times" w:hAnsi="CG Times"/>
          <w:color w:val="0000FF"/>
          <w:sz w:val="24"/>
        </w:rPr>
        <w:t>MJR text in blue</w:t>
      </w:r>
    </w:p>
    <w:p>
      <w:pPr>
        <w:pStyle w:val="Normal"/>
        <w:rPr>
          <w:rFonts w:ascii="CG Times" w:hAnsi="CG Times" w:cs="CG Times"/>
          <w:sz w:val="24"/>
        </w:rPr>
      </w:pPr>
      <w:r>
        <w:rPr>
          <w:rFonts w:cs="CG Times" w:ascii="CG Times" w:hAnsi="CG Times"/>
          <w:sz w:val="24"/>
        </w:rPr>
      </w:r>
    </w:p>
    <w:p>
      <w:pPr>
        <w:pStyle w:val="Heading1"/>
        <w:spacing w:lineRule="auto" w:line="360"/>
        <w:ind w:hanging="0" w:start="0"/>
        <w:rPr>
          <w:rFonts w:ascii="CG Times" w:hAnsi="CG Times" w:cs="CG Times"/>
          <w:sz w:val="24"/>
        </w:rPr>
      </w:pPr>
      <w:r>
        <w:rPr>
          <w:rFonts w:cs="CG Times" w:ascii="CG Times" w:hAnsi="CG Times"/>
          <w:sz w:val="24"/>
        </w:rPr>
        <w:t>I.</w:t>
        <w:tab/>
      </w:r>
      <w:r>
        <w:rPr>
          <w:rFonts w:cs="CG Times" w:ascii="CG Times" w:hAnsi="CG Times"/>
          <w:sz w:val="24"/>
          <w:u w:val="single"/>
        </w:rPr>
        <w:t>Qualifications of Witness</w:t>
      </w:r>
      <w:r>
        <w:rPr>
          <w:rFonts w:cs="CG Times" w:ascii="CG Times" w:hAnsi="CG Times"/>
          <w:sz w:val="24"/>
        </w:rPr>
        <w:t xml:space="preserve"> </w:t>
      </w:r>
      <w:r>
        <w:rPr>
          <w:rFonts w:cs="CG Times" w:ascii="CG Times" w:hAnsi="CG Times"/>
          <w:color w:val="FF0000"/>
          <w:sz w:val="24"/>
        </w:rPr>
        <w:t>[Counihan]</w:t>
      </w:r>
    </w:p>
    <w:p>
      <w:pPr>
        <w:pStyle w:val="Normal"/>
        <w:spacing w:lineRule="auto" w:line="360"/>
        <w:rPr>
          <w:rFonts w:ascii="CG Times" w:hAnsi="CG Times" w:cs="CG Times"/>
          <w:sz w:val="24"/>
        </w:rPr>
      </w:pPr>
      <w:r>
        <w:rPr>
          <w:rFonts w:cs="CG Times" w:ascii="CG Times" w:hAnsi="CG Times"/>
          <w:sz w:val="24"/>
        </w:rPr>
      </w:r>
    </w:p>
    <w:p>
      <w:pPr>
        <w:pStyle w:val="Heading1"/>
        <w:spacing w:lineRule="auto" w:line="360"/>
        <w:ind w:hanging="0" w:start="0"/>
        <w:rPr/>
      </w:pPr>
      <w:r>
        <w:rPr>
          <w:rFonts w:cs="CG Times" w:ascii="CG Times" w:hAnsi="CG Times"/>
          <w:color w:val="0000FF"/>
          <w:sz w:val="24"/>
        </w:rPr>
        <w:t>II.</w:t>
        <w:tab/>
      </w:r>
      <w:r>
        <w:rPr>
          <w:rFonts w:cs="CG Times" w:ascii="CG Times" w:hAnsi="CG Times"/>
          <w:color w:val="0000FF"/>
          <w:sz w:val="24"/>
          <w:u w:val="single"/>
        </w:rPr>
        <w:t>Settlement Background</w:t>
      </w:r>
      <w:r>
        <w:rPr>
          <w:rFonts w:cs="CG Times" w:ascii="CG Times" w:hAnsi="CG Times"/>
          <w:color w:val="0000FF"/>
          <w:sz w:val="24"/>
        </w:rPr>
        <w:t xml:space="preserve"> </w:t>
      </w:r>
    </w:p>
    <w:p>
      <w:pPr>
        <w:pStyle w:val="Normal"/>
        <w:spacing w:lineRule="auto" w:line="360"/>
        <w:ind w:firstLine="720" w:end="0"/>
        <w:rPr>
          <w:rFonts w:ascii="CG Times" w:hAnsi="CG Times" w:cs="CG Times"/>
          <w:color w:val="0000FF"/>
          <w:sz w:val="24"/>
        </w:rPr>
      </w:pPr>
      <w:r>
        <w:rPr>
          <w:rFonts w:cs="CG Times" w:ascii="CG Times" w:hAnsi="CG Times"/>
          <w:color w:val="0000FF"/>
          <w:sz w:val="24"/>
        </w:rPr>
        <w:t>The “core aggregation” program was established in California in 1991. Yet nine years later, less than five percent of the core market (by volume) on the SoCal Gas system and less than ____  percent of the core market on the SDG&amp;E system participate in core aggregation. In contrast, ____ percent (by volume) of the SoCal Gas system noncore market, and ____ percent of the noncore market on the SDG&amp;E system, participate in transport-only service. Participation in core aggregation is even lower among residential customers:  ____ percent on SoCal Gas and ____ on SDG&amp;E. [[Comment: percentage figures to be supplied by Nancy McVay at SoCal]]</w:t>
      </w:r>
    </w:p>
    <w:p>
      <w:pPr>
        <w:pStyle w:val="Normal"/>
        <w:spacing w:lineRule="auto" w:line="360"/>
        <w:ind w:firstLine="720" w:end="0"/>
        <w:rPr>
          <w:rFonts w:ascii="CG Times" w:hAnsi="CG Times" w:cs="CG Times"/>
          <w:color w:val="0000FF"/>
          <w:sz w:val="24"/>
        </w:rPr>
      </w:pPr>
      <w:r>
        <w:rPr>
          <w:rFonts w:cs="CG Times" w:ascii="CG Times" w:hAnsi="CG Times"/>
          <w:color w:val="0000FF"/>
          <w:sz w:val="24"/>
        </w:rPr>
        <w:t xml:space="preserve">One reason why participation in core aggregation is so low among residential customers is that there currently is little, if any, opportunity for commodity cost “savings” against the utility’s price – either for core customers or for the marketers serving them. Although marketers can acquire the gas commodity on their own, they are locked in to a set of cost components for the remainder of the delivered price of gas, and there are few opportunities or incentives for them to engage in meaningful competition with the utilities. </w:t>
      </w:r>
    </w:p>
    <w:p>
      <w:pPr>
        <w:pStyle w:val="BodyTextIndent"/>
        <w:rPr/>
      </w:pPr>
      <w:r>
        <w:rPr/>
        <w:t xml:space="preserve">In particular, marketers currently must use (and pay for) the same interstate transportation, intrastate transmission, and storage and balancing assets that are used by the utilities for their bundled service customers. Marketers must use (and pay for) the same transportation paths and storage as the utility.  Marketers who provide consolidated billing to their customers do not use the utility as their billing agent, yet they, or more precisely their customers, must continue to pay for the utility’s billing service as a component of local transportation rates. Transport-only customers receive no avoided cost credit – no benefit – from the fact that bill production and presentment, collection and customer service related to billing are all handled by the marketer rather than the utility. </w:t>
      </w:r>
    </w:p>
    <w:p>
      <w:pPr>
        <w:pStyle w:val="Normal"/>
        <w:spacing w:lineRule="auto" w:line="360"/>
        <w:ind w:firstLine="720" w:end="0"/>
        <w:rPr>
          <w:rFonts w:ascii="CG Times" w:hAnsi="CG Times" w:cs="CG Times"/>
          <w:color w:val="0000FF"/>
          <w:sz w:val="24"/>
        </w:rPr>
      </w:pPr>
      <w:r>
        <w:rPr>
          <w:rFonts w:cs="CG Times" w:ascii="CG Times" w:hAnsi="CG Times"/>
          <w:color w:val="0000FF"/>
          <w:sz w:val="24"/>
        </w:rPr>
        <w:t>These key limitations preventing marketers from providing cost savings and other benefits to core customers are all addressed in the Comprehensive Settlement.</w:t>
      </w:r>
    </w:p>
    <w:p>
      <w:pPr>
        <w:pStyle w:val="Heading1"/>
        <w:spacing w:lineRule="auto" w:line="360"/>
        <w:ind w:hanging="0" w:start="0"/>
        <w:rPr>
          <w:rFonts w:ascii="CG Times" w:hAnsi="CG Times" w:cs="CG Times"/>
          <w:sz w:val="24"/>
        </w:rPr>
      </w:pPr>
      <w:r>
        <w:rPr>
          <w:rFonts w:cs="CG Times" w:ascii="CG Times" w:hAnsi="CG Times"/>
          <w:sz w:val="24"/>
        </w:rPr>
        <w:t>III.</w:t>
        <w:tab/>
      </w:r>
      <w:r>
        <w:rPr>
          <w:rFonts w:cs="CG Times" w:ascii="CG Times" w:hAnsi="CG Times"/>
          <w:sz w:val="24"/>
          <w:u w:val="single"/>
        </w:rPr>
        <w:t xml:space="preserve">Benefits of the Comprehensive Settlement </w:t>
      </w:r>
    </w:p>
    <w:p>
      <w:pPr>
        <w:pStyle w:val="Normal"/>
        <w:keepNext w:val="true"/>
        <w:spacing w:lineRule="auto" w:line="360"/>
        <w:ind w:start="720" w:end="0"/>
        <w:rPr>
          <w:rFonts w:ascii="CG Times" w:hAnsi="CG Times" w:cs="CG Times"/>
          <w:color w:val="0000FF"/>
          <w:sz w:val="24"/>
        </w:rPr>
      </w:pPr>
      <w:r>
        <w:rPr>
          <w:rFonts w:cs="CG Times" w:ascii="CG Times" w:hAnsi="CG Times"/>
          <w:color w:val="0000FF"/>
          <w:sz w:val="24"/>
        </w:rPr>
        <w:t>A.</w:t>
        <w:tab/>
        <w:t xml:space="preserve">This Settlement Makes It More Likely That Consumers Will Be Offered New Competitive Choices. </w:t>
      </w:r>
    </w:p>
    <w:p>
      <w:pPr>
        <w:pStyle w:val="Normal"/>
        <w:spacing w:lineRule="auto" w:line="360"/>
        <w:ind w:firstLine="720" w:end="0"/>
        <w:rPr/>
      </w:pPr>
      <w:r>
        <w:rPr>
          <w:rFonts w:cs="CG Times" w:ascii="CG Times" w:hAnsi="CG Times"/>
          <w:color w:val="0000FF"/>
          <w:sz w:val="24"/>
        </w:rPr>
        <w:t>If the Comprehensive Settlement is approved and implemented, suppliers to core customers will have increased flexibility to compete against the utility to deliver cost “savings”</w:t>
      </w:r>
      <w:r>
        <w:rPr>
          <w:rStyle w:val="FootnoteCharacters"/>
          <w:rStyle w:val="FootnoteReference"/>
          <w:rFonts w:cs="CG Times" w:ascii="CG Times" w:hAnsi="CG Times"/>
          <w:color w:val="0000FF"/>
          <w:sz w:val="24"/>
        </w:rPr>
        <w:footnoteReference w:id="2"/>
      </w:r>
      <w:r>
        <w:rPr>
          <w:rFonts w:cs="CG Times" w:ascii="CG Times" w:hAnsi="CG Times"/>
          <w:color w:val="0000FF"/>
          <w:sz w:val="24"/>
        </w:rPr>
        <w:t xml:space="preserve"> and to tailor other aspects of their service to meet the needs of customers. The Comprehensive Settlement disaggregates the component costs of delivered natural gas, to permit more accurate price signals to reach the market -- thereby benefiting the most efficient suppliers. Without the sort of flexibility and disaggregation provided in the Comprehensive Settlement, there is little chance that a significant number of suppliers will actively engage in the market and attempt to create value.</w:t>
      </w:r>
    </w:p>
    <w:p>
      <w:pPr>
        <w:pStyle w:val="BodyTextIndent"/>
        <w:rPr/>
      </w:pPr>
      <w:r>
        <w:rPr/>
        <w:t>Larger and (more reliable) cost savings will encourage current and future qualified marketers to compete for an increasing number of core customers, and will cause marketers to expand their marketing efforts to include the smallest (residential) customers. The changes provided in the Comprehensive Settlement are likely to encourage more customers, including residential customers, to participate in transport-only service. To permit and encourage that growth, the Comprehensive Settlement eliminates the “cap” on the level of customer participation in the core aggregation program. (Removal of the “cap” also is consistent with the PG&amp;E Gas Accord.)</w:t>
      </w:r>
    </w:p>
    <w:p>
      <w:pPr>
        <w:pStyle w:val="Normal"/>
        <w:spacing w:lineRule="auto" w:line="360"/>
        <w:ind w:firstLine="720" w:end="0"/>
        <w:rPr/>
      </w:pPr>
      <w:r>
        <w:rPr>
          <w:rFonts w:cs="CG Times" w:ascii="CG Times" w:hAnsi="CG Times"/>
          <w:color w:val="0000FF"/>
          <w:sz w:val="24"/>
        </w:rPr>
        <w:t>More competitive options can lead to lower prices, innovative products, and better services. Examples of potential innovations include: aggregating gas service with other goods or services to achieve bundled discounts, combining gas service with appliance sales to achieve “end result” pricing, substantial discounts depending on payment terms, varied pricing plans for small users similar to the pricing options currently available to larger users, aggregating users across utility borders to achieve discounts, and commodity sales as fundraising engines for schools and charities.</w:t>
      </w:r>
    </w:p>
    <w:p>
      <w:pPr>
        <w:pStyle w:val="Normal"/>
        <w:spacing w:lineRule="auto" w:line="360"/>
        <w:ind w:start="720" w:end="0"/>
        <w:rPr>
          <w:rFonts w:ascii="CG Times" w:hAnsi="CG Times" w:cs="CG Times"/>
          <w:sz w:val="24"/>
        </w:rPr>
      </w:pPr>
      <w:r>
        <w:rPr>
          <w:rFonts w:cs="CG Times" w:ascii="CG Times" w:hAnsi="CG Times"/>
          <w:sz w:val="24"/>
        </w:rPr>
        <w:t>B.</w:t>
        <w:tab/>
        <w:t xml:space="preserve">Competition Leads to Benefits for Customers </w:t>
      </w:r>
      <w:r>
        <w:rPr>
          <w:rFonts w:cs="CG Times" w:ascii="CG Times" w:hAnsi="CG Times"/>
          <w:color w:val="FF0000"/>
          <w:sz w:val="24"/>
        </w:rPr>
        <w:t>[Counihan]</w:t>
      </w:r>
    </w:p>
    <w:p>
      <w:pPr>
        <w:pStyle w:val="Normal"/>
        <w:spacing w:lineRule="auto" w:line="360"/>
        <w:ind w:firstLine="720" w:end="0"/>
        <w:rPr>
          <w:rFonts w:ascii="CG Times" w:hAnsi="CG Times" w:cs="CG Times"/>
          <w:sz w:val="24"/>
        </w:rPr>
      </w:pPr>
      <w:r>
        <w:rPr>
          <w:rFonts w:cs="CG Times" w:ascii="CG Times" w:hAnsi="CG Times"/>
          <w:sz w:val="24"/>
        </w:rPr>
        <w:t>Offering competitive options to large customers has provided them with benefits over the past 10 years. [I think Jeff D. has some data here on the benefits to large customers.  John L. may also have some insight here.]  Best evidence is the number of noncore customers on the SoCal Gas system (and percentage by volume) that have selected transportation-only service.  For sales to noncore customers, marketers can offer a multitude of service options, including flexibility as to price, term, risk, point of delivery.  Currently, there are ____ marketers that sell gas to noncore customers on the SoCal Gas system, compared to only ____ marketers that sell gas to core customers on the SoCal Gas system.</w:t>
      </w:r>
    </w:p>
    <w:p>
      <w:pPr>
        <w:pStyle w:val="Normal"/>
        <w:spacing w:lineRule="auto" w:line="360"/>
        <w:ind w:firstLine="720" w:end="0"/>
        <w:rPr>
          <w:rFonts w:ascii="CG Times" w:hAnsi="CG Times" w:cs="CG Times"/>
          <w:sz w:val="24"/>
        </w:rPr>
      </w:pPr>
      <w:r>
        <w:rPr>
          <w:rFonts w:cs="CG Times" w:ascii="CG Times" w:hAnsi="CG Times"/>
          <w:sz w:val="24"/>
        </w:rPr>
        <w:t>Competitive choices in other industries have provided benefits [cite Crandall study from Brookings institute briefly Rick has this]  [Be careful here.  You do not want this case to turn into a referendum on whether competitive choice has worked in other industries.] Structured prices, bill presentation options, customized payment terms.</w:t>
      </w:r>
    </w:p>
    <w:p>
      <w:pPr>
        <w:pStyle w:val="Normal"/>
        <w:spacing w:lineRule="auto" w:line="360"/>
        <w:ind w:firstLine="720" w:end="0"/>
        <w:rPr>
          <w:rFonts w:ascii="CG Times" w:hAnsi="CG Times" w:cs="CG Times"/>
          <w:sz w:val="24"/>
        </w:rPr>
      </w:pPr>
      <w:r>
        <w:rPr>
          <w:rFonts w:cs="CG Times" w:ascii="CG Times" w:hAnsi="CG Times"/>
          <w:sz w:val="24"/>
        </w:rPr>
        <w:t>Customers in the electric industry have seen benefits including lower prices, new products such as green electricity and fixed price hedging contracts, and innovative services such as all internet business transactions.</w:t>
      </w:r>
    </w:p>
    <w:p>
      <w:pPr>
        <w:pStyle w:val="BodyTextIndent2"/>
        <w:rPr/>
      </w:pPr>
      <w:r>
        <w:rPr/>
        <w:t xml:space="preserve">C. </w:t>
        <w:tab/>
        <w:t>The Comprehensive Settlement Promotes Statewide Consistency Both Between PG&amp;E And SEMPRA And Between Electric And Gas Markets.</w:t>
      </w:r>
    </w:p>
    <w:p>
      <w:pPr>
        <w:pStyle w:val="Normal"/>
        <w:spacing w:lineRule="auto" w:line="360"/>
        <w:rPr>
          <w:rFonts w:ascii="CG Times" w:hAnsi="CG Times" w:cs="CG Times"/>
          <w:color w:val="0000FF"/>
          <w:sz w:val="24"/>
        </w:rPr>
      </w:pPr>
      <w:r>
        <w:rPr>
          <w:rFonts w:cs="CG Times" w:ascii="CG Times" w:hAnsi="CG Times"/>
          <w:color w:val="0000FF"/>
          <w:sz w:val="24"/>
        </w:rPr>
        <w:tab/>
        <w:t>Under the Gas Accord, interstate transportation and backbone transmission were unbundled on the PG&amp;E system. The Commission has made clear that it values highly statewide consistency in the gas market. The parties to the Comprehensive Settlement worked to follow the unbundling pattern set forth in the Gas Accord. In addition, the Comprehensive Settlement includes numerous features (unbundled storage, self-balancing, billing credits) that also are included in the January 28 PG&amp;E settlement.</w:t>
      </w:r>
    </w:p>
    <w:p>
      <w:pPr>
        <w:pStyle w:val="Normal"/>
        <w:spacing w:lineRule="auto" w:line="360"/>
        <w:ind w:firstLine="720" w:end="0"/>
        <w:rPr>
          <w:rFonts w:ascii="CG Times" w:hAnsi="CG Times" w:cs="CG Times"/>
          <w:color w:val="0000FF"/>
          <w:sz w:val="24"/>
        </w:rPr>
      </w:pPr>
      <w:r>
        <w:rPr>
          <w:rFonts w:cs="CG Times" w:ascii="CG Times" w:hAnsi="CG Times"/>
          <w:color w:val="0000FF"/>
          <w:sz w:val="24"/>
        </w:rPr>
        <w:t>In electric restructuring, small customers have the same competitive opportunities that are available to large customers. That is the intent of the Comprehensive Settlement, as well.</w:t>
      </w:r>
    </w:p>
    <w:p>
      <w:pPr>
        <w:pStyle w:val="Normal"/>
        <w:keepNext w:val="true"/>
        <w:spacing w:lineRule="auto" w:line="360"/>
        <w:ind w:start="720" w:end="0"/>
        <w:rPr>
          <w:rFonts w:ascii="CG Times" w:hAnsi="CG Times" w:cs="CG Times"/>
          <w:color w:val="0000FF"/>
          <w:sz w:val="24"/>
        </w:rPr>
      </w:pPr>
      <w:r>
        <w:rPr>
          <w:rFonts w:cs="CG Times" w:ascii="CG Times" w:hAnsi="CG Times"/>
          <w:color w:val="0000FF"/>
          <w:sz w:val="24"/>
        </w:rPr>
        <w:t>D.</w:t>
        <w:tab/>
        <w:t>The Comprehensive Settlement Maintains Consumer Protection.</w:t>
      </w:r>
    </w:p>
    <w:p>
      <w:pPr>
        <w:pStyle w:val="Normal"/>
        <w:spacing w:lineRule="auto" w:line="360"/>
        <w:ind w:firstLine="720" w:end="0"/>
        <w:rPr>
          <w:rFonts w:ascii="CG Times" w:hAnsi="CG Times" w:cs="CG Times"/>
          <w:color w:val="0000FF"/>
          <w:sz w:val="24"/>
        </w:rPr>
      </w:pPr>
      <w:r>
        <w:rPr>
          <w:rFonts w:cs="CG Times" w:ascii="CG Times" w:hAnsi="CG Times"/>
          <w:color w:val="0000FF"/>
          <w:sz w:val="24"/>
        </w:rPr>
        <w:t xml:space="preserve">The Comprehensive Settlement does not change any of the consumer protections that exist for customers who continue to purchase gas from their local utility. Also, the current core aggregation program consumer protection provisions (e.g., aggregator creditworthiness tests, customer sign-up rules, etc.) remain in place. </w:t>
      </w:r>
    </w:p>
    <w:p>
      <w:pPr>
        <w:pStyle w:val="BodyTextIndent"/>
        <w:rPr/>
      </w:pPr>
      <w:r>
        <w:rPr/>
        <w:t>The only Comprehensive Settlement change related to consumer protection is elimination of the “information-only” bill for customers of aggregators who wish to take advantage of billing credits. The Comprehensive Settlement maintains the consumer protection features of the information-only bill by requiring aggregators who wish to access the billing credit (a) to include, with their bills, the printed inserts regarding consumer protection and safety issues that would have been placed in the information-only bill envelopes, and (b) to print, on their bills, the utility’s transportation rates as well as at least one commodity price comparison rate, either the utility rate or an index rate. [[Comment: The Settlement at 7.2.4 specifies that UDC “rate data,” rather than either the UDC or index-based rate, will be printed on the bill, as in the PG&amp;E settlement. Is that correct?]] The latter solution was part Elimination of the information-only bill is also consistent with the January 28 PG&amp;E settlement and with electric industry restructuring.</w:t>
      </w:r>
    </w:p>
    <w:p>
      <w:pPr>
        <w:pStyle w:val="Normal"/>
        <w:spacing w:lineRule="auto" w:line="360"/>
        <w:ind w:start="720" w:end="0"/>
        <w:rPr/>
      </w:pPr>
      <w:r>
        <w:rPr>
          <w:rFonts w:cs="CG Times" w:ascii="CG Times" w:hAnsi="CG Times"/>
          <w:sz w:val="24"/>
        </w:rPr>
        <w:t>E.</w:t>
        <w:tab/>
        <w:t xml:space="preserve">The Comprehensive Settlement Is Not Intended To Benefit Any Particular Customer Class By Shifting Costs To Another Customer Class.  </w:t>
      </w:r>
      <w:r>
        <w:rPr>
          <w:rFonts w:cs="CG Times" w:ascii="CG Times" w:hAnsi="CG Times"/>
          <w:color w:val="FF0000"/>
          <w:sz w:val="24"/>
        </w:rPr>
        <w:t>[Chau]</w:t>
      </w:r>
    </w:p>
    <w:p>
      <w:pPr>
        <w:pStyle w:val="Normal"/>
        <w:spacing w:lineRule="auto" w:line="360"/>
        <w:ind w:firstLine="720" w:end="0"/>
        <w:rPr>
          <w:rFonts w:ascii="CG Times" w:hAnsi="CG Times" w:cs="CG Times"/>
          <w:sz w:val="24"/>
        </w:rPr>
      </w:pPr>
      <w:r>
        <w:rPr>
          <w:rFonts w:cs="CG Times" w:ascii="CG Times" w:hAnsi="CG Times"/>
          <w:sz w:val="24"/>
        </w:rPr>
        <w:t>This settlement is not about “cost allocation.”  Rather, the Settlement is intended to maintain the current bundled service option, and service reliability, for those core customers that do not select a competitive supplier, while enhancing the range of competitive alternatives for those core customers that do select a competitive supplier, providing for “unbundling.”</w:t>
      </w:r>
    </w:p>
    <w:p>
      <w:pPr>
        <w:pStyle w:val="Normal"/>
        <w:spacing w:lineRule="auto" w:line="360"/>
        <w:ind w:firstLine="720" w:end="0"/>
        <w:rPr>
          <w:rFonts w:ascii="CG Times" w:hAnsi="CG Times" w:cs="CG Times"/>
          <w:sz w:val="24"/>
        </w:rPr>
      </w:pPr>
      <w:r>
        <w:rPr>
          <w:rFonts w:cs="CG Times" w:ascii="CG Times" w:hAnsi="CG Times"/>
          <w:sz w:val="24"/>
        </w:rPr>
        <w:t>Settlement recognizes that there are costs to serving retail customers and that if a customer chooses a competitive provider they should no longer pay for those services from the utility.</w:t>
      </w:r>
    </w:p>
    <w:p>
      <w:pPr>
        <w:pStyle w:val="Normal"/>
        <w:spacing w:lineRule="auto" w:line="360"/>
        <w:ind w:start="720" w:end="0"/>
        <w:rPr/>
      </w:pPr>
      <w:r>
        <w:rPr>
          <w:rFonts w:cs="CG Times" w:ascii="CG Times" w:hAnsi="CG Times"/>
          <w:sz w:val="24"/>
        </w:rPr>
        <w:t>F.</w:t>
        <w:tab/>
        <w:t xml:space="preserve">Change In Brokerage Fee Is a Negotiated Resolution Regarding the Costs Of Procurement. </w:t>
      </w:r>
      <w:r>
        <w:rPr>
          <w:rFonts w:cs="CG Times" w:ascii="CG Times" w:hAnsi="CG Times"/>
          <w:color w:val="FF0000"/>
          <w:sz w:val="24"/>
        </w:rPr>
        <w:t>[Chau]</w:t>
      </w:r>
    </w:p>
    <w:p>
      <w:pPr>
        <w:pStyle w:val="Normal"/>
        <w:spacing w:lineRule="auto" w:line="360"/>
        <w:ind w:firstLine="720" w:end="0"/>
        <w:rPr>
          <w:rFonts w:ascii="CG Times" w:hAnsi="CG Times" w:cs="CG Times"/>
          <w:sz w:val="24"/>
        </w:rPr>
      </w:pPr>
      <w:r>
        <w:rPr>
          <w:rFonts w:cs="CG Times" w:ascii="CG Times" w:hAnsi="CG Times"/>
          <w:sz w:val="24"/>
        </w:rPr>
        <w:t>The principle at stake is whether all competitors in the marketplace should start on equal footing with respect to regulated cost recovery. The parties all agree that the utility bears costs which also must be borne by aggregators. The issue is whether the utility has the opportunity to recover an inappropriate share of those costs as part of their monopoly transportation function.</w:t>
      </w:r>
    </w:p>
    <w:p>
      <w:pPr>
        <w:pStyle w:val="Normal"/>
        <w:spacing w:lineRule="auto" w:line="360"/>
        <w:rPr>
          <w:rFonts w:ascii="CG Times" w:hAnsi="CG Times" w:cs="CG Times"/>
          <w:sz w:val="24"/>
        </w:rPr>
      </w:pPr>
      <w:r>
        <w:rPr>
          <w:rFonts w:cs="CG Times" w:ascii="CG Times" w:hAnsi="CG Times"/>
          <w:sz w:val="24"/>
        </w:rPr>
        <w:tab/>
        <w:t>Dating back to 1990, there has been a dispute over the proper level of the brokerage fee for those core customers that purchase their gas from the utility.  The dispute centers on how to calculate the fixed costs that are associated with the utility’s purchases of gas for, and the utility’s sales of gas to its core customers.  Core transport-only customers should not pay, in their transportation rates, any of the costs associated with the utility’s purchases of gas for the utility’s bundled core sales customers.</w:t>
      </w:r>
    </w:p>
    <w:p>
      <w:pPr>
        <w:pStyle w:val="Normal"/>
        <w:spacing w:lineRule="auto" w:line="360"/>
        <w:ind w:firstLine="720" w:end="0"/>
        <w:rPr>
          <w:rFonts w:ascii="CG Times" w:hAnsi="CG Times" w:cs="CG Times"/>
          <w:sz w:val="24"/>
        </w:rPr>
      </w:pPr>
      <w:r>
        <w:rPr>
          <w:rFonts w:cs="CG Times" w:ascii="CG Times" w:hAnsi="CG Times"/>
          <w:sz w:val="24"/>
        </w:rPr>
        <w:t>Improves statewide consistency; conforms with size of Brokerage Fee in PG&amp;E.</w:t>
      </w:r>
    </w:p>
    <w:p>
      <w:pPr>
        <w:pStyle w:val="Normal"/>
        <w:spacing w:lineRule="auto" w:line="360"/>
        <w:ind w:firstLine="720" w:end="0"/>
        <w:rPr>
          <w:rFonts w:ascii="CG Times" w:hAnsi="CG Times" w:cs="CG Times"/>
          <w:sz w:val="24"/>
        </w:rPr>
      </w:pPr>
      <w:r>
        <w:rPr>
          <w:rFonts w:cs="CG Times" w:ascii="CG Times" w:hAnsi="CG Times"/>
          <w:sz w:val="24"/>
        </w:rPr>
        <w:t>The agreed upon brokerage fee is a compromise. The Comprehensive Settlement sets forth a method to address core procurement costs. Parties agree to work together to see if there are additional ways that competition could be brought to bear on the procurement process to provide even greater benefits for customers.</w:t>
      </w:r>
    </w:p>
    <w:p>
      <w:pPr>
        <w:pStyle w:val="Normal"/>
        <w:spacing w:lineRule="auto" w:line="360"/>
        <w:ind w:start="720" w:end="0"/>
        <w:rPr>
          <w:rFonts w:ascii="CG Times" w:hAnsi="CG Times" w:cs="CG Times"/>
          <w:sz w:val="24"/>
        </w:rPr>
      </w:pPr>
      <w:r>
        <w:rPr>
          <w:rFonts w:cs="CG Times" w:ascii="CG Times" w:hAnsi="CG Times"/>
          <w:sz w:val="24"/>
        </w:rPr>
        <w:t>G.</w:t>
        <w:tab/>
        <w:t xml:space="preserve">Elimination of Noncore Procurement Provides Advance Notice and Option to Convert to a Core Customers </w:t>
      </w:r>
      <w:r>
        <w:rPr>
          <w:rFonts w:cs="CG Times" w:ascii="CG Times" w:hAnsi="CG Times"/>
          <w:color w:val="FF0000"/>
          <w:sz w:val="24"/>
        </w:rPr>
        <w:t>[Dasovich]</w:t>
      </w:r>
    </w:p>
    <w:p>
      <w:pPr>
        <w:pStyle w:val="Normal"/>
        <w:spacing w:lineRule="auto" w:line="360"/>
        <w:ind w:firstLine="720" w:end="0"/>
        <w:rPr>
          <w:rFonts w:ascii="CG Times" w:hAnsi="CG Times" w:cs="CG Times"/>
          <w:sz w:val="24"/>
        </w:rPr>
      </w:pPr>
      <w:r>
        <w:rPr>
          <w:rFonts w:cs="CG Times" w:ascii="CG Times" w:hAnsi="CG Times"/>
          <w:sz w:val="24"/>
        </w:rPr>
        <w:t>Corresponds with the PG&amp;E Gas Accord.</w:t>
      </w:r>
    </w:p>
    <w:p>
      <w:pPr>
        <w:pStyle w:val="Normal"/>
        <w:spacing w:lineRule="auto" w:line="360"/>
        <w:ind w:firstLine="720" w:end="0"/>
        <w:rPr>
          <w:rFonts w:ascii="CG Times" w:hAnsi="CG Times" w:cs="CG Times"/>
          <w:sz w:val="24"/>
        </w:rPr>
      </w:pPr>
      <w:r>
        <w:rPr>
          <w:rFonts w:cs="CG Times" w:ascii="CG Times" w:hAnsi="CG Times"/>
          <w:sz w:val="24"/>
        </w:rPr>
        <w:t>Removes the utility from a potential conflict of interest by removing utility from sales of gas to noncore customers; also removes the potential for “tying” arrangements between level of transportation rate and purchase of gas from the utility.</w:t>
      </w:r>
    </w:p>
    <w:p>
      <w:pPr>
        <w:pStyle w:val="Normal"/>
        <w:spacing w:lineRule="auto" w:line="360"/>
        <w:ind w:start="720" w:end="0"/>
        <w:rPr>
          <w:rFonts w:ascii="CG Times" w:hAnsi="CG Times" w:cs="CG Times"/>
          <w:color w:val="0000FF"/>
          <w:sz w:val="24"/>
        </w:rPr>
      </w:pPr>
      <w:r>
        <w:rPr>
          <w:rFonts w:cs="CG Times" w:ascii="CG Times" w:hAnsi="CG Times"/>
          <w:color w:val="0000FF"/>
          <w:sz w:val="24"/>
        </w:rPr>
        <w:t>H.</w:t>
        <w:tab/>
        <w:t>Billing Credits Provide Incentives to Competitors to Offer, and Customers to Choose, Innovative Billing Services.</w:t>
      </w:r>
    </w:p>
    <w:p>
      <w:pPr>
        <w:pStyle w:val="Normal"/>
        <w:spacing w:lineRule="auto" w:line="360"/>
        <w:ind w:firstLine="720" w:end="0"/>
        <w:rPr>
          <w:rFonts w:ascii="CG Times" w:hAnsi="CG Times" w:cs="CG Times"/>
          <w:color w:val="0000FF"/>
          <w:sz w:val="24"/>
        </w:rPr>
      </w:pPr>
      <w:r>
        <w:rPr>
          <w:rFonts w:cs="CG Times" w:ascii="CG Times" w:hAnsi="CG Times"/>
          <w:color w:val="0000FF"/>
          <w:sz w:val="24"/>
        </w:rPr>
        <w:t xml:space="preserve">Billing costs money. The required investment of time and money to carry out the billing function properly has, to date, helped limit the participation of current aggregators to larger customer accounts and discouraged other potential aggregators from participating in the SoCal Gas and SDG&amp;E core markets at all. </w:t>
      </w:r>
    </w:p>
    <w:p>
      <w:pPr>
        <w:pStyle w:val="Normal"/>
        <w:spacing w:lineRule="auto" w:line="360"/>
        <w:ind w:firstLine="720" w:end="0"/>
        <w:rPr>
          <w:rFonts w:ascii="CG Times" w:hAnsi="CG Times" w:cs="CG Times"/>
          <w:color w:val="0000FF"/>
          <w:sz w:val="24"/>
        </w:rPr>
      </w:pPr>
      <w:r>
        <w:rPr>
          <w:rFonts w:cs="CG Times" w:ascii="CG Times" w:hAnsi="CG Times"/>
          <w:color w:val="0000FF"/>
          <w:sz w:val="24"/>
        </w:rPr>
        <w:t>Billing consists of a number of procedures. An aggregator must obtain consumption information from the utility, sort the information by customer and apply appropriate prices, perform quality assurance on the bills (including input of prior period adjustments which may go back several years), produce, print, and mail bills, perform collections, apply receipts, handle customer service questions, reconcile commodity amounts billed against utility imbalance statements, and reconcile transportation amounts billed against the utility’s invoices to the aggregator. For each of these functions, the aggregator bears a cost that is, or should be, avoided by the utility.</w:t>
      </w:r>
    </w:p>
    <w:p>
      <w:pPr>
        <w:pStyle w:val="Normal"/>
        <w:spacing w:lineRule="auto" w:line="360"/>
        <w:ind w:firstLine="720" w:end="0"/>
        <w:rPr>
          <w:rFonts w:ascii="CG Times" w:hAnsi="CG Times" w:cs="CG Times"/>
          <w:color w:val="0000FF"/>
          <w:sz w:val="24"/>
        </w:rPr>
      </w:pPr>
      <w:r>
        <w:rPr>
          <w:rFonts w:cs="CG Times" w:ascii="CG Times" w:hAnsi="CG Times"/>
          <w:color w:val="0000FF"/>
          <w:sz w:val="24"/>
        </w:rPr>
        <w:t xml:space="preserve">But to date, billing credits have been completely unavailable to transport-only customers. This in spite of the fact that aggregators provide, for _____ percent of their customers [[*** Ask SoCal for the precise numbers]], consolidated bills for both the gas commodity and the utility’s transportation charges. Maintaining the status quo on billing credits would be maintain the current inconsistency with the electric marketplace and with the terms of the PG&amp;E natural gas settlement filed January 28, 2000. The Comprehensive Settlement contains a negotiated resolution by the parties of a viable method to change the status quo in a way that benefits consumers. </w:t>
      </w:r>
    </w:p>
    <w:p>
      <w:pPr>
        <w:pStyle w:val="Normal"/>
        <w:spacing w:lineRule="auto" w:line="360"/>
        <w:ind w:firstLine="720" w:end="0"/>
        <w:rPr/>
      </w:pPr>
      <w:r>
        <w:rPr>
          <w:rFonts w:cs="CG Times" w:ascii="CG Times" w:hAnsi="CG Times"/>
          <w:color w:val="0000FF"/>
          <w:sz w:val="24"/>
        </w:rPr>
        <w:t>The Comprehensive Settlement starts from the premise that if someone other than the utility can offer billing services more cheaply or in a manner that better suits customer needs, customers should reap the benefits. To that end, the Comprehensive Settlement provides billing credits to aggregators who (a) perform consolidated billing of utility transportation and aggregator commodity prices, (b) agree in writing to include utility bill inserts and cost data in their bills.</w:t>
      </w:r>
      <w:r>
        <w:rPr>
          <w:rStyle w:val="FootnoteCharacters"/>
          <w:rStyle w:val="FootnoteReference"/>
          <w:rFonts w:cs="CG Times" w:ascii="CG Times" w:hAnsi="CG Times"/>
          <w:color w:val="0000FF"/>
          <w:sz w:val="24"/>
        </w:rPr>
        <w:footnoteReference w:id="3"/>
      </w:r>
      <w:r>
        <w:rPr>
          <w:rFonts w:cs="CG Times" w:ascii="CG Times" w:hAnsi="CG Times"/>
          <w:color w:val="0000FF"/>
          <w:sz w:val="24"/>
        </w:rPr>
        <w:t xml:space="preserve"> </w:t>
      </w:r>
    </w:p>
    <w:p>
      <w:pPr>
        <w:pStyle w:val="Normal"/>
        <w:spacing w:lineRule="auto" w:line="360"/>
        <w:ind w:firstLine="720" w:end="0"/>
        <w:rPr>
          <w:rFonts w:ascii="CG Times" w:hAnsi="CG Times" w:cs="CG Times"/>
          <w:color w:val="0000FF"/>
          <w:sz w:val="24"/>
        </w:rPr>
      </w:pPr>
      <w:r>
        <w:rPr>
          <w:rFonts w:cs="CG Times" w:ascii="CG Times" w:hAnsi="CG Times"/>
          <w:color w:val="0000FF"/>
          <w:sz w:val="24"/>
        </w:rPr>
        <w:t xml:space="preserve">The Comprehensive Settlement resolves the difficult issue of determining avoided costs applicable through December 2002. Further, the amounts of the credits in the Comprehensive Settlement are well within the values approved by this Commission for billing credits in the electric industry. </w:t>
      </w:r>
    </w:p>
    <w:p>
      <w:pPr>
        <w:pStyle w:val="Normal"/>
        <w:spacing w:lineRule="auto" w:line="360"/>
        <w:ind w:firstLine="720" w:end="0"/>
        <w:rPr>
          <w:rFonts w:ascii="CG Times" w:hAnsi="CG Times" w:cs="CG Times"/>
          <w:color w:val="0000FF"/>
          <w:sz w:val="24"/>
        </w:rPr>
      </w:pPr>
      <w:r>
        <w:rPr>
          <w:rFonts w:cs="CG Times" w:ascii="CG Times" w:hAnsi="CG Times"/>
          <w:color w:val="0000FF"/>
          <w:sz w:val="24"/>
        </w:rPr>
        <w:t xml:space="preserve">Also, the Comprehensive Settlement provides a method for the parties to re-visit the size of the credits for the period after calendar year 2002. Under the Comprehensive Settlement, the parties have agreed to negotiate avoided cost billing credits for the period after calendar 2002, but if the parties have not reached agreement by December 31, 2001, then the utilities will file applications during the first quarter of 2002 to resolve the avoided cost issue in time for implementation at the start of calendar year 2003. </w:t>
      </w:r>
    </w:p>
    <w:p>
      <w:pPr>
        <w:pStyle w:val="Normal"/>
        <w:spacing w:lineRule="auto" w:line="360"/>
        <w:ind w:firstLine="720" w:end="0"/>
        <w:rPr>
          <w:rFonts w:ascii="CG Times" w:hAnsi="CG Times" w:cs="CG Times"/>
          <w:color w:val="0000FF"/>
          <w:sz w:val="24"/>
        </w:rPr>
      </w:pPr>
      <w:r>
        <w:rPr>
          <w:rFonts w:cs="CG Times" w:ascii="CG Times" w:hAnsi="CG Times"/>
          <w:color w:val="0000FF"/>
          <w:sz w:val="24"/>
        </w:rPr>
        <w:t>A major benefit of the billing credits is that they will permit aggregators some return on investments in billing innovations. Online bill presentment, e-commerce bill payment, consolidation of gas bills with bills for other goods and services, and enhanced price and consumption reporting features are all examples of billing innovations that have been accepted in other markets and should be viewed as creating value for California’s natural gas consumers. The billing credits should stimulate growth of those innovations.</w:t>
      </w:r>
    </w:p>
    <w:p>
      <w:pPr>
        <w:pStyle w:val="Normal"/>
        <w:spacing w:lineRule="auto" w:line="360"/>
        <w:ind w:firstLine="720" w:end="0"/>
        <w:rPr>
          <w:rFonts w:ascii="CG Times" w:hAnsi="CG Times" w:cs="CG Times"/>
          <w:color w:val="0000FF"/>
          <w:sz w:val="24"/>
        </w:rPr>
      </w:pPr>
      <w:r>
        <w:rPr>
          <w:rFonts w:cs="CG Times" w:ascii="CG Times" w:hAnsi="CG Times"/>
          <w:color w:val="0000FF"/>
          <w:sz w:val="24"/>
        </w:rPr>
        <w:t xml:space="preserve">The Comprehensive Settlement also addresses utility consolidated billing of aggregator commodity charges with utility local transportation charges. Utility consolidated billing is not currently available on the SoCal Gas or SDG&amp;E (or PG&amp;E) systems. A benefit of the Comprehensive Settlement is that it contemplates that SoCal Gas and SDG&amp;E will offer customers and marketers the choice of utility consolidated billing, at cost-based rates. It will be up to the utilities to design an attractive package of consolidated billing services. The aggregators will then be able to determine whether the offered service meets the needs of their market at the costs offered. Utility consolidated billing, once offered, will allow aggregators to participate in competitive sales without the necessity of performing the billing function. This is another element of flexibility that should encourage more marketers to reach residential and other small customers. </w:t>
      </w:r>
    </w:p>
    <w:p>
      <w:pPr>
        <w:pStyle w:val="Normal"/>
        <w:spacing w:lineRule="auto" w:line="360"/>
        <w:ind w:firstLine="720" w:end="0"/>
        <w:rPr>
          <w:rFonts w:ascii="CG Times" w:hAnsi="CG Times" w:cs="CG Times"/>
          <w:color w:val="0000FF"/>
          <w:sz w:val="24"/>
        </w:rPr>
      </w:pPr>
      <w:r>
        <w:rPr>
          <w:rFonts w:eastAsia="CG Times" w:cs="CG Times" w:ascii="CG Times" w:hAnsi="CG Times"/>
          <w:color w:val="0000FF"/>
          <w:sz w:val="24"/>
        </w:rPr>
        <w:t xml:space="preserve"> </w:t>
      </w:r>
      <w:r>
        <w:rPr>
          <w:rFonts w:cs="CG Times" w:ascii="CG Times" w:hAnsi="CG Times"/>
          <w:color w:val="0000FF"/>
          <w:sz w:val="24"/>
        </w:rPr>
        <w:t xml:space="preserve">Another benefit of the billing credits provided in the Comprehensive Settlement is that the credits will open up the possibility of consolidated billing of both gas and electric services in SoCal Gas territory. Customers in PG&amp;E and SDG&amp;E have long been able to receive one bill for two commodities, but this has not been possible in SoCal Gas’ service territory. The billing credits should promote growth of dual commodity billing, thereby improving statewide consistency across utility borders and between commodities. </w:t>
      </w:r>
    </w:p>
    <w:p>
      <w:pPr>
        <w:pStyle w:val="Normal"/>
        <w:spacing w:lineRule="auto" w:line="360"/>
        <w:ind w:start="720" w:end="0"/>
        <w:rPr>
          <w:rFonts w:ascii="CG Times" w:hAnsi="CG Times" w:cs="CG Times"/>
          <w:sz w:val="24"/>
        </w:rPr>
      </w:pPr>
      <w:r>
        <w:rPr>
          <w:rFonts w:cs="CG Times" w:ascii="CG Times" w:hAnsi="CG Times"/>
          <w:sz w:val="24"/>
        </w:rPr>
        <w:t>I.</w:t>
        <w:tab/>
        <w:t xml:space="preserve">Meter Pilot Programs Offer Opportunity to Evaluate Innovative Metering Options, Consistent with State Law </w:t>
      </w:r>
      <w:r>
        <w:rPr>
          <w:rFonts w:cs="CG Times" w:ascii="CG Times" w:hAnsi="CG Times"/>
          <w:color w:val="FF0000"/>
          <w:sz w:val="24"/>
        </w:rPr>
        <w:t>[Counihan]</w:t>
      </w:r>
    </w:p>
    <w:p>
      <w:pPr>
        <w:pStyle w:val="Normal"/>
        <w:spacing w:lineRule="auto" w:line="360"/>
        <w:rPr>
          <w:rFonts w:ascii="CG Times" w:hAnsi="CG Times" w:cs="CG Times"/>
          <w:sz w:val="24"/>
        </w:rPr>
      </w:pPr>
      <w:r>
        <w:rPr>
          <w:rFonts w:cs="CG Times" w:ascii="CG Times" w:hAnsi="CG Times"/>
          <w:sz w:val="24"/>
        </w:rPr>
      </w:r>
    </w:p>
    <w:p>
      <w:pPr>
        <w:pStyle w:val="Normal"/>
        <w:spacing w:lineRule="auto" w:line="360"/>
        <w:ind w:start="720" w:end="0"/>
        <w:rPr>
          <w:rFonts w:ascii="CG Times" w:hAnsi="CG Times" w:cs="CG Times"/>
          <w:sz w:val="24"/>
        </w:rPr>
      </w:pPr>
      <w:r>
        <w:rPr>
          <w:rFonts w:cs="CG Times" w:ascii="CG Times" w:hAnsi="CG Times"/>
          <w:sz w:val="24"/>
        </w:rPr>
        <w:t>J.</w:t>
        <w:tab/>
        <w:t xml:space="preserve">Unbundling of Interstate Capacity, Storage and Unbundling Will Allow Maximum Flexibility to Core Aggregators. </w:t>
      </w:r>
      <w:r>
        <w:rPr>
          <w:rFonts w:cs="CG Times" w:ascii="CG Times" w:hAnsi="CG Times"/>
          <w:color w:val="FF0000"/>
          <w:sz w:val="24"/>
        </w:rPr>
        <w:t>[Worster]</w:t>
      </w:r>
    </w:p>
    <w:p>
      <w:pPr>
        <w:pStyle w:val="Normal"/>
        <w:spacing w:lineRule="auto" w:line="360"/>
        <w:ind w:firstLine="720" w:end="0"/>
        <w:rPr>
          <w:rFonts w:ascii="CG Times" w:hAnsi="CG Times" w:cs="CG Times"/>
          <w:sz w:val="24"/>
        </w:rPr>
      </w:pPr>
      <w:r>
        <w:rPr>
          <w:rFonts w:cs="CG Times" w:ascii="CG Times" w:hAnsi="CG Times"/>
          <w:sz w:val="24"/>
        </w:rPr>
        <w:t>This topic will not be addressed here except that those parts of the settlement allow Core Aggregators the maximum flexibility to create products and services that offer core customers added value.  It is important to keep in mind that customers have total freedom of choice when it comes to choosing a core aggregator.  If an aggregator cannot offer them value, they will not choose.  And, if a core aggregator does not have flexibility, the breadth of customers to which it offers competitive services will be limited.  Increased flexibility for core aggregators makes it more likely that residential customers will have competitive alternatives.</w:t>
      </w:r>
    </w:p>
    <w:p>
      <w:pPr>
        <w:pStyle w:val="BodyTextIndent"/>
        <w:rPr/>
      </w:pPr>
      <w:r>
        <w:rPr/>
        <w:t xml:space="preserve">[[Rochman comment: Insert the following John Leslie points re storage unbundling?: In addition, for core aggregation customers, the Comprehensive Settlement assures service reliability through the following provisions: </w:t>
      </w:r>
    </w:p>
    <w:p>
      <w:pPr>
        <w:pStyle w:val="Normal"/>
        <w:numPr>
          <w:ilvl w:val="0"/>
          <w:numId w:val="3"/>
        </w:numPr>
        <w:spacing w:lineRule="auto" w:line="360"/>
        <w:ind w:firstLine="720" w:start="0" w:end="0"/>
        <w:rPr>
          <w:rFonts w:ascii="CG Times" w:hAnsi="CG Times" w:cs="CG Times"/>
          <w:color w:val="0000FF"/>
          <w:sz w:val="24"/>
        </w:rPr>
      </w:pPr>
      <w:r>
        <w:rPr>
          <w:rFonts w:cs="CG Times" w:ascii="CG Times" w:hAnsi="CG Times"/>
          <w:color w:val="0000FF"/>
          <w:sz w:val="24"/>
        </w:rPr>
        <w:t xml:space="preserve">Unbundled core reliability storage can only be rejected if the aggregator certifies and demonstrates that it has adequate “Alternate Resources,” such as ___________. </w:t>
      </w:r>
    </w:p>
    <w:p>
      <w:pPr>
        <w:pStyle w:val="Normal"/>
        <w:numPr>
          <w:ilvl w:val="0"/>
          <w:numId w:val="3"/>
        </w:numPr>
        <w:spacing w:lineRule="auto" w:line="360"/>
        <w:ind w:firstLine="720" w:start="0" w:end="0"/>
        <w:rPr>
          <w:rFonts w:ascii="CG Times" w:hAnsi="CG Times" w:cs="CG Times"/>
          <w:color w:val="0000FF"/>
          <w:sz w:val="24"/>
        </w:rPr>
      </w:pPr>
      <w:r>
        <w:rPr>
          <w:rFonts w:cs="CG Times" w:ascii="CG Times" w:hAnsi="CG Times"/>
          <w:color w:val="0000FF"/>
          <w:sz w:val="24"/>
        </w:rPr>
        <w:t xml:space="preserve">Balancing charges; OFO/O-EFO penalties </w:t>
      </w:r>
    </w:p>
    <w:p>
      <w:pPr>
        <w:pStyle w:val="Normal"/>
        <w:numPr>
          <w:ilvl w:val="0"/>
          <w:numId w:val="3"/>
        </w:numPr>
        <w:spacing w:lineRule="auto" w:line="360"/>
        <w:ind w:firstLine="720" w:start="0" w:end="0"/>
        <w:rPr>
          <w:rFonts w:ascii="CG Times" w:hAnsi="CG Times" w:cs="CG Times"/>
          <w:color w:val="0000FF"/>
          <w:sz w:val="24"/>
        </w:rPr>
      </w:pPr>
      <w:r>
        <w:rPr>
          <w:rFonts w:cs="CG Times" w:ascii="CG Times" w:hAnsi="CG Times"/>
          <w:color w:val="0000FF"/>
          <w:sz w:val="24"/>
        </w:rPr>
        <w:t>No “leaning” on the core procurement department (no negative impact upon core procurement department if core aggregator is out-of-balance) ]]</w:t>
      </w:r>
    </w:p>
    <w:p>
      <w:pPr>
        <w:pStyle w:val="Heading1"/>
        <w:spacing w:lineRule="auto" w:line="360"/>
        <w:ind w:hanging="0" w:start="0"/>
        <w:rPr>
          <w:rFonts w:ascii="CG Times" w:hAnsi="CG Times" w:cs="CG Times"/>
          <w:sz w:val="24"/>
        </w:rPr>
      </w:pPr>
      <w:r>
        <w:rPr>
          <w:rFonts w:cs="CG Times" w:ascii="CG Times" w:hAnsi="CG Times"/>
          <w:sz w:val="24"/>
        </w:rPr>
        <w:t>IV.</w:t>
        <w:tab/>
      </w:r>
      <w:r>
        <w:rPr>
          <w:rFonts w:cs="CG Times" w:ascii="CG Times" w:hAnsi="CG Times"/>
          <w:sz w:val="24"/>
          <w:u w:val="single"/>
        </w:rPr>
        <w:t>Conclusion</w:t>
      </w:r>
      <w:r>
        <w:rPr>
          <w:rFonts w:cs="CG Times" w:ascii="CG Times" w:hAnsi="CG Times"/>
          <w:sz w:val="24"/>
        </w:rPr>
        <w:t xml:space="preserve"> </w:t>
      </w:r>
      <w:r>
        <w:rPr>
          <w:rFonts w:cs="CG Times" w:ascii="CG Times" w:hAnsi="CG Times"/>
          <w:color w:val="FF0000"/>
          <w:sz w:val="24"/>
        </w:rPr>
        <w:t>[Counihan]</w:t>
      </w:r>
    </w:p>
    <w:p>
      <w:pPr>
        <w:pStyle w:val="Normal"/>
        <w:spacing w:lineRule="auto" w:line="360"/>
        <w:ind w:firstLine="720" w:end="0"/>
        <w:rPr>
          <w:rFonts w:ascii="CG Times" w:hAnsi="CG Times" w:cs="CG Times"/>
          <w:sz w:val="24"/>
        </w:rPr>
      </w:pPr>
      <w:r>
        <w:rPr>
          <w:rFonts w:cs="CG Times" w:ascii="CG Times" w:hAnsi="CG Times"/>
          <w:sz w:val="24"/>
        </w:rPr>
        <w:t>Support the settlement in its entirety, without amendment</w:t>
      </w:r>
    </w:p>
    <w:p>
      <w:pPr>
        <w:pStyle w:val="Normal"/>
        <w:spacing w:lineRule="auto" w:line="360"/>
        <w:ind w:firstLine="720" w:end="0"/>
        <w:rPr>
          <w:rFonts w:ascii="CG Times" w:hAnsi="CG Times" w:cs="CG Times"/>
          <w:sz w:val="24"/>
        </w:rPr>
      </w:pPr>
      <w:r>
        <w:rPr>
          <w:rFonts w:cs="CG Times" w:ascii="CG Times" w:hAnsi="CG Times"/>
          <w:sz w:val="24"/>
        </w:rPr>
        <w:t>Settlement addresses all of the most promising options</w:t>
      </w:r>
    </w:p>
    <w:p>
      <w:pPr>
        <w:pStyle w:val="Normal"/>
        <w:spacing w:lineRule="auto" w:line="360"/>
        <w:ind w:firstLine="720" w:end="0"/>
        <w:rPr>
          <w:rFonts w:ascii="CG Times" w:hAnsi="CG Times" w:cs="CG Times"/>
          <w:sz w:val="24"/>
        </w:rPr>
      </w:pPr>
      <w:r>
        <w:rPr>
          <w:rFonts w:cs="CG Times" w:ascii="CG Times" w:hAnsi="CG Times"/>
          <w:sz w:val="24"/>
        </w:rPr>
        <w:t>Settlement enhances statewide consistency</w:t>
      </w:r>
    </w:p>
    <w:p>
      <w:pPr>
        <w:pStyle w:val="Normal"/>
        <w:spacing w:lineRule="auto" w:line="360"/>
        <w:ind w:firstLine="720" w:end="0"/>
        <w:rPr>
          <w:rFonts w:ascii="CG Times" w:hAnsi="CG Times" w:cs="CG Times"/>
          <w:sz w:val="24"/>
        </w:rPr>
      </w:pPr>
      <w:r>
        <w:rPr>
          <w:rFonts w:cs="CG Times" w:ascii="CG Times" w:hAnsi="CG Times"/>
          <w:sz w:val="24"/>
        </w:rPr>
        <w:t>Settlement will lead to more and better choices for small customers</w:t>
      </w:r>
    </w:p>
    <w:sectPr>
      <w:footerReference w:type="default" r:id="rId2"/>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widowControl/>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widowControl/>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color w:val="0000FF"/>
        </w:rPr>
        <w:t xml:space="preserve"> </w:t>
      </w:r>
      <w:r>
        <w:rPr>
          <w:color w:val="0000FF"/>
        </w:rPr>
        <w:t xml:space="preserve">The term “savings” is in quotes to denote the meaning most often found in the marketplace: a commodity charge lower than the utility price by the same period. There are other valid definitions of the term (e.g., a commodity cost lower than the utility charge in a prior period, a cost lower than what the end-user paid to a non-utility supplier in a prior period, a cost lower than a “market” rate, or a cost that recognizes end-user expense savings due to bill presentment or payment practices). Also, the colloquial definition of savings does not account for the fact that the utilities, under current regulation, do not announce their prices in advance. So competitors do not have a “price to beat” and consumers to not have a “price to compare” on a going forward basis. But until savings, as defined as a practical matter in the marketplace, are achievable on a reliable basis, the development of a more sophisticated definition of savings and value will continue to be forestalled. </w:t>
      </w:r>
    </w:p>
  </w:footnote>
  <w:footnote w:id="3">
    <w:p>
      <w:pPr>
        <w:pStyle w:val="FootnoteText"/>
        <w:rPr/>
      </w:pPr>
      <w:r>
        <w:rPr>
          <w:rStyle w:val="FootnoteCharacters"/>
        </w:rPr>
        <w:footnoteRef/>
      </w:r>
      <w:r>
        <w:rPr>
          <w:color w:val="0000FF"/>
        </w:rPr>
        <w:t xml:space="preserve"> </w:t>
      </w:r>
      <w:r>
        <w:rPr>
          <w:color w:val="0000FF"/>
        </w:rPr>
        <w:t>From the effective date of the Comprehensive Settlement through the end of calendar year 2002, for SoCal Gas the monthly avoided cost credits will be $0.78 per account for residential customers and $1.16 for non-residential customers. For SDG&amp;E, the monthly avoided cost credits will be $0.05 per account for residential customers and $0.16 for non-residential where the utility continues to provide an electric bill. Where the aggregator, as a combined CAT/ESP, also provides an electric bill to a dual-commodity customer, the SDG&amp;E gas billing credits will be in addition to any Commission-approved billing credits applicable to an electric only customer. The bill insert and price comparison requirements are addressed in the discussion of consumer protection issues, above.</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720"/>
        </w:tabs>
        <w:ind w:start="720" w:hanging="720"/>
      </w:pPr>
      <w:rPr>
        <w:rFonts w:ascii="Times New Roman" w:hAnsi="Times New Roman" w:cs="Times New Roman"/>
      </w:rPr>
    </w:lvl>
  </w:abstractNum>
  <w:abstractNum w:abstractNumId="3">
    <w:lvl w:ilvl="0">
      <w:start w:val="1"/>
      <w:numFmt w:val="bullet"/>
      <w:lvlText w:val=""/>
      <w:lvlJc w:val="start"/>
      <w:pPr>
        <w:tabs>
          <w:tab w:val="num" w:pos="360"/>
        </w:tabs>
        <w:ind w:start="360" w:hanging="360"/>
      </w:pPr>
      <w:rPr>
        <w:rFonts w:ascii="Symbol" w:hAnsi="Symbol" w:cs="Symbol" w:hint="default"/>
        <w:sz w:val="24"/>
        <w:i w:val="false"/>
        <w:b/>
        <w:color w:val="auto"/>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5"/>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Cs w:val="24"/>
    </w:rPr>
  </w:style>
  <w:style w:type="paragraph" w:styleId="Heading2">
    <w:name w:val="heading 2"/>
    <w:basedOn w:val="Normal"/>
    <w:next w:val="Normal"/>
    <w:qFormat/>
    <w:pPr>
      <w:keepNext w:val="true"/>
      <w:numPr>
        <w:ilvl w:val="0"/>
        <w:numId w:val="2"/>
      </w:numPr>
      <w:tabs>
        <w:tab w:val="left" w:pos="720" w:leader="none"/>
      </w:tabs>
      <w:outlineLvl w:val="1"/>
    </w:pPr>
    <w:rPr>
      <w:szCs w:val="24"/>
    </w:rPr>
  </w:style>
  <w:style w:type="character" w:styleId="WW8Num2z0">
    <w:name w:val="WW8Num2z0"/>
    <w:qFormat/>
    <w:rPr>
      <w:rFonts w:ascii="Times New Roman" w:hAnsi="Times New Roman" w:cs="Times New Roman"/>
    </w:rPr>
  </w:style>
  <w:style w:type="character" w:styleId="WW8Num3z0">
    <w:name w:val="WW8Num3z0"/>
    <w:qFormat/>
    <w:rPr>
      <w:rFonts w:ascii="Times New Roman" w:hAnsi="Times New Roman" w:cs="Times New Roman"/>
    </w:rPr>
  </w:style>
  <w:style w:type="character" w:styleId="WW8Num4z0">
    <w:name w:val="WW8Num4z0"/>
    <w:qFormat/>
    <w:rPr>
      <w:rFonts w:ascii="Times New Roman" w:hAnsi="Times New Roman" w:cs="Times New Roman"/>
    </w:rPr>
  </w:style>
  <w:style w:type="character" w:styleId="WW8Num5z0">
    <w:name w:val="WW8Num5z0"/>
    <w:qFormat/>
    <w:rPr>
      <w:rFonts w:ascii="Times New Roman" w:hAnsi="Times New Roman" w:cs="Times New Roman"/>
    </w:rPr>
  </w:style>
  <w:style w:type="character" w:styleId="WW8Num6z0">
    <w:name w:val="WW8Num6z0"/>
    <w:qFormat/>
    <w:rPr>
      <w:rFonts w:ascii="Times New Roman" w:hAnsi="Times New Roman" w:cs="Times New Roman"/>
    </w:rPr>
  </w:style>
  <w:style w:type="character" w:styleId="WW8Num7z0">
    <w:name w:val="WW8Num7z0"/>
    <w:qFormat/>
    <w:rPr>
      <w:rFonts w:ascii="Times New Roman" w:hAnsi="Times New Roman" w:cs="Times New Roman"/>
    </w:rPr>
  </w:style>
  <w:style w:type="character" w:styleId="WW8Num8z0">
    <w:name w:val="WW8Num8z0"/>
    <w:qFormat/>
    <w:rPr>
      <w:rFonts w:ascii="Times New Roman" w:hAnsi="Times New Roman" w:cs="Times New Roman"/>
    </w:rPr>
  </w:style>
  <w:style w:type="character" w:styleId="WW8Num9z0">
    <w:name w:val="WW8Num9z0"/>
    <w:qFormat/>
    <w:rPr>
      <w:rFonts w:ascii="Times New Roman" w:hAnsi="Times New Roman" w:cs="Times New Roman"/>
    </w:rPr>
  </w:style>
  <w:style w:type="character" w:styleId="WW8Num10z0">
    <w:name w:val="WW8Num10z0"/>
    <w:qFormat/>
    <w:rPr>
      <w:rFonts w:ascii="Times New Roman" w:hAnsi="Times New Roman" w:cs="Times New Roman"/>
    </w:rPr>
  </w:style>
  <w:style w:type="character" w:styleId="WW8Num11z0">
    <w:name w:val="WW8Num11z0"/>
    <w:qFormat/>
    <w:rPr>
      <w:rFonts w:ascii="Times New Roman" w:hAnsi="Times New Roman" w:cs="Times New Roman"/>
    </w:rPr>
  </w:style>
  <w:style w:type="character" w:styleId="WW8Num12z0">
    <w:name w:val="WW8Num12z0"/>
    <w:qFormat/>
    <w:rPr>
      <w:rFonts w:ascii="Times New Roman" w:hAnsi="Times New Roman" w:cs="Times New Roman"/>
    </w:rPr>
  </w:style>
  <w:style w:type="character" w:styleId="WW8Num13z0">
    <w:name w:val="WW8Num13z0"/>
    <w:qFormat/>
    <w:rPr>
      <w:rFonts w:ascii="Times New Roman" w:hAnsi="Times New Roman" w:cs="Times New Roman"/>
    </w:rPr>
  </w:style>
  <w:style w:type="character" w:styleId="WW8Num14z0">
    <w:name w:val="WW8Num14z0"/>
    <w:qFormat/>
    <w:rPr>
      <w:rFonts w:ascii="Times New Roman" w:hAnsi="Times New Roman" w:cs="Times New Roman"/>
    </w:rPr>
  </w:style>
  <w:style w:type="character" w:styleId="WW8Num15z0">
    <w:name w:val="WW8Num15z0"/>
    <w:qFormat/>
    <w:rPr>
      <w:rFonts w:ascii="Times New Roman" w:hAnsi="Times New Roman" w:cs="Times New Roman"/>
    </w:rPr>
  </w:style>
  <w:style w:type="character" w:styleId="WW8Num16z0">
    <w:name w:val="WW8Num16z0"/>
    <w:qFormat/>
    <w:rPr>
      <w:rFonts w:ascii="Times New Roman" w:hAnsi="Times New Roman" w:cs="Times New Roman"/>
    </w:rPr>
  </w:style>
  <w:style w:type="character" w:styleId="WW8Num17z0">
    <w:name w:val="WW8Num17z0"/>
    <w:qFormat/>
    <w:rPr>
      <w:rFonts w:ascii="Times New Roman" w:hAnsi="Times New Roman" w:cs="Times New Roman"/>
    </w:rPr>
  </w:style>
  <w:style w:type="character" w:styleId="WW8Num18z0">
    <w:name w:val="WW8Num18z0"/>
    <w:qFormat/>
    <w:rPr>
      <w:rFonts w:ascii="Times New Roman" w:hAnsi="Times New Roman" w:cs="Times New Roman"/>
    </w:rPr>
  </w:style>
  <w:style w:type="character" w:styleId="WW8Num19z0">
    <w:name w:val="WW8Num19z0"/>
    <w:qFormat/>
    <w:rPr>
      <w:rFonts w:ascii="Times New Roman" w:hAnsi="Times New Roman" w:cs="Times New Roman"/>
    </w:rPr>
  </w:style>
  <w:style w:type="character" w:styleId="WW8Num20z0">
    <w:name w:val="WW8Num20z0"/>
    <w:qFormat/>
    <w:rPr>
      <w:rFonts w:ascii="Times New Roman" w:hAnsi="Times New Roman" w:cs="Times New Roman"/>
    </w:rPr>
  </w:style>
  <w:style w:type="character" w:styleId="WW8Num21z0">
    <w:name w:val="WW8Num21z0"/>
    <w:qFormat/>
    <w:rPr>
      <w:rFonts w:ascii="Times New Roman" w:hAnsi="Times New Roman" w:cs="Times New Roman"/>
    </w:rPr>
  </w:style>
  <w:style w:type="character" w:styleId="WW8Num22z0">
    <w:name w:val="WW8Num22z0"/>
    <w:qFormat/>
    <w:rPr>
      <w:rFonts w:ascii="Symbol" w:hAnsi="Symbol" w:cs="Symbol"/>
      <w:b/>
      <w:i w:val="false"/>
      <w:color w:val="auto"/>
      <w:sz w:val="24"/>
    </w:rPr>
  </w:style>
  <w:style w:type="character" w:styleId="WW8Num23z0">
    <w:name w:val="WW8Num23z0"/>
    <w:qFormat/>
    <w:rPr>
      <w:rFonts w:ascii="Times New Roman" w:hAnsi="Times New Roman" w:cs="Times New Roman"/>
    </w:rPr>
  </w:style>
  <w:style w:type="character" w:styleId="WW8Num24z0">
    <w:name w:val="WW8Num24z0"/>
    <w:qFormat/>
    <w:rPr>
      <w:rFonts w:ascii="Times New Roman" w:hAnsi="Times New Roman" w:cs="Times New Roman"/>
    </w:rPr>
  </w:style>
  <w:style w:type="character" w:styleId="WW8Num25z0">
    <w:name w:val="WW8Num25z0"/>
    <w:qFormat/>
    <w:rPr>
      <w:rFonts w:ascii="Times New Roman" w:hAnsi="Times New Roman" w:cs="Times New Roman"/>
    </w:rPr>
  </w:style>
  <w:style w:type="character" w:styleId="WW8Num26z0">
    <w:name w:val="WW8Num26z0"/>
    <w:qFormat/>
    <w:rPr>
      <w:rFonts w:ascii="Times New Roman" w:hAnsi="Times New Roman" w:cs="Times New Roman"/>
    </w:rPr>
  </w:style>
  <w:style w:type="character" w:styleId="WW8Num27z0">
    <w:name w:val="WW8Num27z0"/>
    <w:qFormat/>
    <w:rPr>
      <w:rFonts w:ascii="Times New Roman" w:hAnsi="Times New Roman" w:cs="Times New Roman"/>
    </w:rPr>
  </w:style>
  <w:style w:type="character" w:styleId="WW8Num28z0">
    <w:name w:val="WW8Num28z0"/>
    <w:qFormat/>
    <w:rPr>
      <w:rFonts w:ascii="Times New Roman" w:hAnsi="Times New Roman" w:cs="Times New Roman"/>
    </w:rPr>
  </w:style>
  <w:style w:type="character" w:styleId="WW8Num29z0">
    <w:name w:val="WW8Num29z0"/>
    <w:qFormat/>
    <w:rPr>
      <w:rFonts w:ascii="Times New Roman" w:hAnsi="Times New Roman" w:cs="Times New Roman"/>
    </w:rPr>
  </w:style>
  <w:style w:type="character" w:styleId="WW8Num30z0">
    <w:name w:val="WW8Num30z0"/>
    <w:qFormat/>
    <w:rPr>
      <w:rFonts w:ascii="Times New Roman" w:hAnsi="Times New Roman" w:cs="Times New Roman"/>
    </w:rPr>
  </w:style>
  <w:style w:type="character" w:styleId="WW8Num31z0">
    <w:name w:val="WW8Num31z0"/>
    <w:qFormat/>
    <w:rPr>
      <w:rFonts w:ascii="Times New Roman" w:hAnsi="Times New Roman" w:cs="Times New Roman"/>
    </w:rPr>
  </w:style>
  <w:style w:type="character" w:styleId="WW8Num32z0">
    <w:name w:val="WW8Num32z0"/>
    <w:qFormat/>
    <w:rPr>
      <w:rFonts w:ascii="Times New Roman" w:hAnsi="Times New Roman" w:cs="Times New Roman"/>
    </w:rPr>
  </w:style>
  <w:style w:type="character" w:styleId="WW8NumSt31z0">
    <w:name w:val="WW8NumSt3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Cs w:val="20"/>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szCs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BodyTextIndent">
    <w:name w:val="Body Text Indent"/>
    <w:basedOn w:val="Normal"/>
    <w:pPr>
      <w:spacing w:lineRule="auto" w:line="360"/>
      <w:ind w:firstLine="720" w:start="0" w:end="0"/>
    </w:pPr>
    <w:rPr>
      <w:rFonts w:ascii="CG Times" w:hAnsi="CG Times" w:cs="CG Times"/>
      <w:color w:val="0000FF"/>
      <w:sz w:val="24"/>
    </w:rPr>
  </w:style>
  <w:style w:type="paragraph" w:styleId="BodyTextIndent2">
    <w:name w:val="Body Text Indent 2"/>
    <w:basedOn w:val="Normal"/>
    <w:qFormat/>
    <w:pPr>
      <w:keepNext w:val="true"/>
      <w:spacing w:lineRule="auto" w:line="360"/>
      <w:ind w:hanging="0" w:start="720" w:end="0"/>
    </w:pPr>
    <w:rPr>
      <w:rFonts w:ascii="CG Times" w:hAnsi="CG Times" w:cs="CG Times"/>
      <w:color w:val="0000FF"/>
      <w:sz w:val="24"/>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2000-04-28T15:17:00Z</dcterms:created>
  <dc:creator>Green Mountain</dc:creator>
  <dc:description/>
  <dc:language>en-CA</dc:language>
  <cp:lastModifiedBy>Michael Rochman</cp:lastModifiedBy>
  <cp:lastPrinted>2000-04-28T21:27:00Z</cp:lastPrinted>
  <dcterms:modified xsi:type="dcterms:W3CDTF">2000-04-29T01:59:00Z</dcterms:modified>
  <cp:revision>18</cp:revision>
  <dc:subject/>
  <dc:title>Outline of  Counihan Testimony on Sempra Gas Settlement</dc:title>
</cp:coreProperties>
</file>