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Cost Reporting Highlights :  Session 2  - January 25, 2001</w:t>
      </w:r>
    </w:p>
    <w:p>
      <w:pPr>
        <w:pStyle w:val="Normal"/>
        <w:rPr/>
      </w:pPr>
      <w:r>
        <w:rPr/>
      </w:r>
    </w:p>
    <w:p>
      <w:pPr>
        <w:pStyle w:val="Normal"/>
        <w:rPr/>
      </w:pPr>
      <w:r>
        <w:rPr/>
        <w:t>Note: In my absence Ozlem Mahmood  will be the contact person for cost reporting.  She will continue were I left off on cost reporting.  She can be reached at 5-3296.</w:t>
      </w:r>
    </w:p>
    <w:p>
      <w:pPr>
        <w:pStyle w:val="Normal"/>
        <w:rPr/>
      </w:pPr>
      <w:r>
        <w:rPr/>
      </w:r>
    </w:p>
    <w:p>
      <w:pPr>
        <w:pStyle w:val="Normal"/>
        <w:rPr/>
      </w:pPr>
      <w:r>
        <w:rPr/>
        <w:t>The data warehouse is still in the pilot stage of cost reporting.  Project Systems is currently out of scope for the pilot.  Cost information will only be gathered through CO for the pilot exercise.</w:t>
      </w:r>
    </w:p>
    <w:p>
      <w:pPr>
        <w:pStyle w:val="Normal"/>
        <w:rPr/>
      </w:pPr>
      <w:r>
        <w:rPr/>
      </w:r>
    </w:p>
    <w:p>
      <w:pPr>
        <w:pStyle w:val="Normal"/>
        <w:rPr/>
      </w:pPr>
      <w:r>
        <w:rPr/>
        <w:t xml:space="preserve">The tree structure of choosing a particular reporting category has been revised.  The screen will now request users to drill down to through menus to find a business unit, team, profit center, or cost center level. </w:t>
      </w:r>
    </w:p>
    <w:p>
      <w:pPr>
        <w:pStyle w:val="Normal"/>
        <w:rPr/>
      </w:pPr>
      <w:r>
        <w:rPr/>
      </w:r>
    </w:p>
    <w:p>
      <w:pPr>
        <w:pStyle w:val="Normal"/>
        <w:rPr/>
      </w:pPr>
      <w:r>
        <w:rPr/>
      </w:r>
    </w:p>
    <w:p>
      <w:pPr>
        <w:pStyle w:val="Normal"/>
        <w:rPr/>
      </w:pPr>
      <w:r>
        <w:rPr/>
        <w:t>The following types of costs that is incurred in Enron was defined:</w:t>
      </w:r>
    </w:p>
    <w:p>
      <w:pPr>
        <w:pStyle w:val="Normal"/>
        <w:rPr/>
      </w:pPr>
      <w:r>
        <w:rPr/>
      </w:r>
    </w:p>
    <w:p>
      <w:pPr>
        <w:pStyle w:val="Normal"/>
        <w:rPr>
          <w:b/>
          <w:u w:val="single"/>
        </w:rPr>
      </w:pPr>
      <w:r>
        <w:rPr>
          <w:b/>
          <w:u w:val="single"/>
        </w:rPr>
        <w:t>Types of Costs:</w:t>
      </w:r>
    </w:p>
    <w:p>
      <w:pPr>
        <w:pStyle w:val="Normal"/>
        <w:rPr>
          <w:b/>
          <w:u w:val="single"/>
        </w:rPr>
      </w:pPr>
      <w:r>
        <w:rPr>
          <w:b/>
          <w:u w:val="single"/>
        </w:rPr>
      </w:r>
    </w:p>
    <w:p>
      <w:pPr>
        <w:pStyle w:val="Normal"/>
        <w:rPr/>
      </w:pPr>
      <w:r>
        <w:rPr/>
        <w:t>Direct</w:t>
        <w:tab/>
        <w:tab/>
        <w:tab/>
        <w:tab/>
        <w:t>=</w:t>
        <w:tab/>
        <w:t>First Spend</w:t>
        <w:tab/>
        <w:t>(5XXXXXXX)</w:t>
      </w:r>
    </w:p>
    <w:p>
      <w:pPr>
        <w:pStyle w:val="Normal"/>
        <w:rPr/>
      </w:pPr>
      <w:r>
        <w:rPr/>
      </w:r>
    </w:p>
    <w:p>
      <w:pPr>
        <w:pStyle w:val="BodyTextIndent"/>
        <w:ind w:hanging="2160" w:start="2160" w:end="0"/>
        <w:rPr/>
      </w:pPr>
      <w:r>
        <w:rPr/>
        <w:t>Allocated In / Out</w:t>
        <w:tab/>
        <w:tab/>
        <w:t>=</w:t>
        <w:tab/>
        <w:t xml:space="preserve">Costs incurred within one cost center but is distributed or </w:t>
      </w:r>
    </w:p>
    <w:p>
      <w:pPr>
        <w:pStyle w:val="BodyTextIndent"/>
        <w:ind w:firstLine="720" w:end="0"/>
        <w:rPr/>
      </w:pPr>
      <w:r>
        <w:rPr/>
        <w:t xml:space="preserve">assessed to another cost center </w:t>
      </w:r>
    </w:p>
    <w:p>
      <w:pPr>
        <w:pStyle w:val="BodyTextIndent"/>
        <w:ind w:firstLine="720" w:end="0"/>
        <w:rPr>
          <w:u w:val="single"/>
        </w:rPr>
      </w:pPr>
      <w:r>
        <w:rPr>
          <w:u w:val="single"/>
        </w:rPr>
        <w:t>Assessments:</w:t>
      </w:r>
    </w:p>
    <w:p>
      <w:pPr>
        <w:pStyle w:val="BodyTextIndent"/>
        <w:ind w:firstLine="720" w:end="0"/>
        <w:rPr/>
      </w:pPr>
      <w:r>
        <w:rPr/>
        <w:t>80XXXXXX = Internal allocation of costs</w:t>
      </w:r>
    </w:p>
    <w:p>
      <w:pPr>
        <w:pStyle w:val="BodyTextIndent"/>
        <w:ind w:firstLine="720" w:end="0"/>
        <w:rPr/>
      </w:pPr>
      <w:r>
        <w:rPr/>
        <w:t>82XXXXXX = Enron Labor allocation of costs</w:t>
      </w:r>
    </w:p>
    <w:p>
      <w:pPr>
        <w:pStyle w:val="BodyTextIndent"/>
        <w:ind w:firstLine="720" w:end="0"/>
        <w:rPr/>
      </w:pPr>
      <w:r>
        <w:rPr/>
        <w:t>85XXXXXX = Overhead allocation of costs</w:t>
      </w:r>
    </w:p>
    <w:p>
      <w:pPr>
        <w:pStyle w:val="BodyTextIndent"/>
        <w:ind w:firstLine="720" w:end="0"/>
        <w:rPr>
          <w:u w:val="single"/>
        </w:rPr>
      </w:pPr>
      <w:r>
        <w:rPr>
          <w:u w:val="single"/>
        </w:rPr>
        <w:t>Distribution:</w:t>
      </w:r>
    </w:p>
    <w:p>
      <w:pPr>
        <w:pStyle w:val="BodyTextIndent"/>
        <w:ind w:firstLine="720" w:end="0"/>
        <w:rPr/>
      </w:pPr>
      <w:r>
        <w:rPr/>
        <w:t>5XXXXXXX = Direct Expense allocation of costs</w:t>
      </w:r>
    </w:p>
    <w:p>
      <w:pPr>
        <w:pStyle w:val="BodyTextIndent"/>
        <w:ind w:firstLine="720" w:end="0"/>
        <w:rPr/>
      </w:pPr>
      <w:r>
        <w:rPr/>
      </w:r>
    </w:p>
    <w:p>
      <w:pPr>
        <w:pStyle w:val="Normal"/>
        <w:rPr/>
      </w:pPr>
      <w:r>
        <w:rPr/>
        <w:t>Capitalized / Deferred</w:t>
        <w:tab/>
        <w:tab/>
        <w:t>=</w:t>
        <w:tab/>
        <w:t xml:space="preserve">Costs that had hit expense but should be capitalized.  These </w:t>
      </w:r>
    </w:p>
    <w:p>
      <w:pPr>
        <w:pStyle w:val="Normal"/>
        <w:ind w:firstLine="720" w:start="2880" w:end="0"/>
        <w:rPr/>
      </w:pPr>
      <w:r>
        <w:rPr/>
        <w:t>accounts are settled with 599XXXXX</w:t>
      </w:r>
    </w:p>
    <w:p>
      <w:pPr>
        <w:pStyle w:val="Normal"/>
        <w:rPr/>
      </w:pPr>
      <w:r>
        <w:rPr/>
      </w:r>
    </w:p>
    <w:p>
      <w:pPr>
        <w:pStyle w:val="BodyTextIndent"/>
        <w:rPr/>
      </w:pPr>
      <w:r>
        <w:rPr/>
        <w:t>Project Expense Settlements</w:t>
        <w:tab/>
        <w:t>=</w:t>
        <w:tab/>
        <w:t xml:space="preserve">Costs that are incurred within a Project.  These costs are </w:t>
      </w:r>
    </w:p>
    <w:p>
      <w:pPr>
        <w:pStyle w:val="BodyTextIndent"/>
        <w:ind w:firstLine="720" w:end="0"/>
        <w:rPr/>
      </w:pPr>
      <w:r>
        <w:rPr/>
        <w:t>settled at the end of the month with 81XXXXXXX</w:t>
      </w:r>
    </w:p>
    <w:p>
      <w:pPr>
        <w:pStyle w:val="BodyTextIndent"/>
        <w:ind w:firstLine="720" w:end="0"/>
        <w:rPr/>
      </w:pPr>
      <w:r>
        <w:rPr/>
        <w:t>(These costs reside in the profit center level not cost center)</w:t>
      </w:r>
    </w:p>
    <w:p>
      <w:pPr>
        <w:pStyle w:val="BodyTextIndent"/>
        <w:ind w:firstLine="720" w:end="0"/>
        <w:rPr/>
      </w:pPr>
      <w:r>
        <w:rPr/>
      </w:r>
    </w:p>
    <w:p>
      <w:pPr>
        <w:pStyle w:val="BodyTextIndent"/>
        <w:ind w:hanging="0" w:start="0" w:end="0"/>
        <w:rPr/>
      </w:pPr>
      <w:r>
        <w:rPr/>
        <w:t>The following calculations were also derived for cost reporting:</w:t>
      </w:r>
    </w:p>
    <w:p>
      <w:pPr>
        <w:pStyle w:val="BodyTextIndent"/>
        <w:ind w:hanging="0" w:start="0" w:end="0"/>
        <w:rPr/>
      </w:pPr>
      <w:r>
        <w:rPr/>
      </w:r>
    </w:p>
    <w:p>
      <w:pPr>
        <w:pStyle w:val="BodyTextIndent"/>
        <w:ind w:firstLine="720" w:start="0" w:end="0"/>
        <w:rPr/>
      </w:pPr>
      <w:r>
        <w:rPr/>
        <w:t xml:space="preserve">Direct   </w:t>
      </w:r>
    </w:p>
    <w:p>
      <w:pPr>
        <w:pStyle w:val="BodyTextIndent"/>
        <w:ind w:hanging="0" w:start="0" w:end="0"/>
        <w:rPr/>
      </w:pPr>
      <w:r>
        <w:rPr/>
        <w:t xml:space="preserve">+   </w:t>
        <w:tab/>
        <w:t xml:space="preserve">Allocations In / Out </w:t>
      </w:r>
    </w:p>
    <w:p>
      <w:pPr>
        <w:pStyle w:val="BodyTextIndent"/>
        <w:ind w:hanging="0" w:start="0" w:end="0"/>
        <w:rPr/>
      </w:pPr>
      <w:r>
        <w:rPr/>
        <w:t xml:space="preserve">+   </w:t>
        <w:tab/>
        <w:t xml:space="preserve">Project Settlements  </w:t>
      </w:r>
    </w:p>
    <w:p>
      <w:pPr>
        <w:pStyle w:val="BodyTextIndent"/>
        <w:ind w:hanging="0" w:start="0" w:end="0"/>
        <w:rPr>
          <w:u w:val="single"/>
        </w:rPr>
      </w:pPr>
      <w:r>
        <w:rPr>
          <w:u w:val="single"/>
        </w:rPr>
        <w:t xml:space="preserve">+  </w:t>
        <w:tab/>
        <w:t xml:space="preserve">Capitalized / Deferred  </w:t>
      </w:r>
    </w:p>
    <w:p>
      <w:pPr>
        <w:pStyle w:val="BodyTextIndent"/>
        <w:ind w:hanging="0" w:start="0" w:end="0"/>
        <w:rPr/>
      </w:pPr>
      <w:r>
        <w:rPr/>
        <w:t xml:space="preserve"> </w:t>
      </w:r>
      <w:r>
        <w:rPr/>
        <w:tab/>
        <w:t>Net Costs</w:t>
      </w:r>
    </w:p>
    <w:p>
      <w:pPr>
        <w:pStyle w:val="BodyTextIndent"/>
        <w:ind w:hanging="0" w:start="0" w:end="0"/>
        <w:rPr/>
      </w:pPr>
      <w:r>
        <w:rPr/>
      </w:r>
    </w:p>
    <w:p>
      <w:pPr>
        <w:pStyle w:val="BodyTextIndent"/>
        <w:ind w:firstLine="720" w:start="0" w:end="0"/>
        <w:rPr/>
      </w:pPr>
      <w:r>
        <w:rPr/>
        <w:t xml:space="preserve">Direct   </w:t>
      </w:r>
    </w:p>
    <w:p>
      <w:pPr>
        <w:pStyle w:val="BodyTextIndent"/>
        <w:ind w:hanging="0" w:start="0" w:end="0"/>
        <w:rPr/>
      </w:pPr>
      <w:r>
        <mc:AlternateContent>
          <mc:Choice Requires="wps">
            <w:drawing>
              <wp:anchor behindDoc="0" distT="0" distB="0" distL="114935" distR="114935" simplePos="0" locked="0" layoutInCell="1" allowOverlap="1" relativeHeight="2">
                <wp:simplePos x="0" y="0"/>
                <wp:positionH relativeFrom="column">
                  <wp:posOffset>2057400</wp:posOffset>
                </wp:positionH>
                <wp:positionV relativeFrom="paragraph">
                  <wp:posOffset>64135</wp:posOffset>
                </wp:positionV>
                <wp:extent cx="731520" cy="365760"/>
                <wp:effectExtent l="6985" t="12065" r="5715" b="12700"/>
                <wp:wrapNone/>
                <wp:docPr id="1" name=""/>
                <a:graphic xmlns:a="http://schemas.openxmlformats.org/drawingml/2006/main">
                  <a:graphicData uri="http://schemas.microsoft.com/office/word/2010/wordprocessingShape">
                    <wps:wsp>
                      <wps:cNvSpPr/>
                      <wps:spPr>
                        <a:xfrm>
                          <a:off x="0" y="0"/>
                          <a:ext cx="731520" cy="365760"/>
                        </a:xfrm>
                        <a:prstGeom prst="leftArrow">
                          <a:avLst>
                            <a:gd name="adj1" fmla="val 50000"/>
                            <a:gd name="adj2" fmla="val 50000"/>
                          </a:avLst>
                        </a:prstGeom>
                        <a:solidFill>
                          <a:srgbClr val="993300"/>
                        </a:solidFill>
                        <a:ln w="9360">
                          <a:solidFill>
                            <a:srgbClr val="000000"/>
                          </a:solidFill>
                          <a:miter/>
                        </a:ln>
                      </wps:spPr>
                      <wps:style>
                        <a:lnRef idx="0"/>
                        <a:fillRef idx="0"/>
                        <a:effectRef idx="0"/>
                        <a:fontRef idx="minor"/>
                      </wps:style>
                      <wps:bodyPr/>
                    </wps:wsp>
                  </a:graphicData>
                </a:graphic>
              </wp:anchor>
            </w:drawing>
          </mc:Choice>
          <mc:Fallback>
            <w:pict>
              <v:shapetype id="_x0000_t66" coordsize="21600,21600" o:spt="66" adj="10800,10800" path="m,10800l@3,l@3@5l21600@5l21600@6l@3@6l@3,21600xe">
                <v:stroke joinstyle="miter"/>
                <v:formulas>
                  <v:f eqn="val 21600"/>
                  <v:f eqn="val #1"/>
                  <v:f eqn="val #0"/>
                  <v:f eqn="sum 0 @2 0"/>
                  <v:f eqn="prod 1 @1 2"/>
                  <v:f eqn="sum 10800 0 @4"/>
                  <v:f eqn="sum 10800 @4 0"/>
                  <v:f eqn="prod @5 @2 10800"/>
                  <v:f eqn="sum @3 0 @7"/>
                </v:formulas>
                <v:path gradientshapeok="t" o:connecttype="rect" textboxrect="@8,@5,21600,@6"/>
                <v:handles>
                  <v:h position="21600,@5"/>
                  <v:h position="@3,0"/>
                </v:handles>
              </v:shapetype>
              <v:shape id="shape_0" fillcolor="#993300" stroked="t" o:allowincell="f" style="position:absolute;margin-left:162pt;margin-top:5.05pt;width:57.55pt;height:28.75pt;mso-wrap-style:none;v-text-anchor:middle" type="_x0000_t66">
                <v:fill o:detectmouseclick="t" type="solid" color2="#66ccff"/>
                <v:stroke color="black" weight="9360" joinstyle="miter" endcap="flat"/>
                <w10:wrap type="none"/>
              </v:shape>
            </w:pict>
          </mc:Fallback>
        </mc:AlternateContent>
      </w:r>
      <w:r>
        <w:rPr/>
        <w:t xml:space="preserve">+   </w:t>
        <w:tab/>
        <w:t xml:space="preserve">Allocations In / Out    </w:t>
      </w:r>
    </w:p>
    <w:p>
      <w:pPr>
        <w:pStyle w:val="BodyTextIndent"/>
        <w:ind w:hanging="0" w:start="0" w:end="0"/>
        <w:rPr/>
      </w:pPr>
      <w:r>
        <w:rPr>
          <w:u w:val="single"/>
        </w:rPr>
        <w:t>+</w:t>
        <w:tab/>
        <w:t>Project Settlements</w:t>
      </w:r>
      <w:r>
        <w:rPr/>
        <w:tab/>
        <w:tab/>
        <w:tab/>
        <w:tab/>
        <w:t xml:space="preserve">Preferred method of calculation. </w:t>
      </w:r>
    </w:p>
    <w:p>
      <w:pPr>
        <w:pStyle w:val="BodyTextIndent"/>
        <w:ind w:firstLine="720" w:start="0" w:end="0"/>
        <w:rPr/>
      </w:pPr>
      <w:r>
        <w:rPr/>
        <w:t>Gross Costs</w:t>
        <w:tab/>
        <w:tab/>
        <w:tab/>
        <w:tab/>
        <w:tab/>
        <w:t>The pilot will be built with this caculation.</w:t>
      </w:r>
    </w:p>
    <w:p>
      <w:pPr>
        <w:pStyle w:val="BodyTextIndent"/>
        <w:ind w:hanging="0" w:start="0" w:end="0"/>
        <w:rPr>
          <w:u w:val="single"/>
        </w:rPr>
      </w:pPr>
      <w:r>
        <w:rPr>
          <w:u w:val="single"/>
        </w:rPr>
        <w:t>+</w:t>
        <w:tab/>
        <w:t>Capitalized / Deferred</w:t>
      </w:r>
    </w:p>
    <w:p>
      <w:pPr>
        <w:pStyle w:val="BodyTextIndent"/>
        <w:ind w:hanging="0" w:start="0" w:end="0"/>
        <w:rPr/>
      </w:pPr>
      <w:r>
        <w:rPr/>
        <w:tab/>
        <w:t>Net Costs</w:t>
      </w:r>
    </w:p>
    <w:p>
      <w:pPr>
        <w:pStyle w:val="BodyTextIndent"/>
        <w:ind w:hanging="0" w:start="0" w:end="0"/>
        <w:rPr>
          <w:u w:val="single"/>
        </w:rPr>
      </w:pPr>
      <w:r>
        <w:rPr>
          <w:u w:val="single"/>
        </w:rPr>
        <w:t>+</w:t>
        <w:tab/>
        <w:t>Cost Center Allocations</w:t>
      </w:r>
    </w:p>
    <w:p>
      <w:pPr>
        <w:pStyle w:val="BodyTextIndent"/>
        <w:ind w:hanging="0" w:start="0" w:end="0"/>
        <w:rPr/>
      </w:pPr>
      <w:r>
        <w:rPr/>
        <w:tab/>
        <w:t>Total After Cost Center Allocations</w:t>
      </w:r>
    </w:p>
    <w:p>
      <w:pPr>
        <w:pStyle w:val="BodyTextIndent"/>
        <w:ind w:hanging="0" w:start="0" w:end="0"/>
        <w:rPr/>
      </w:pPr>
      <w:r>
        <w:rPr/>
      </w:r>
    </w:p>
    <w:p>
      <w:pPr>
        <w:pStyle w:val="BodyTextIndent"/>
        <w:ind w:hanging="0" w:start="0" w:end="0"/>
        <w:rPr/>
      </w:pPr>
      <w:r>
        <w:rPr/>
      </w:r>
    </w:p>
    <w:p>
      <w:pPr>
        <w:pStyle w:val="BodyTextIndent"/>
        <w:ind w:hanging="0" w:start="0" w:end="0"/>
        <w:rPr/>
      </w:pPr>
      <w:r>
        <w:rPr/>
      </w:r>
    </w:p>
    <w:p>
      <w:pPr>
        <w:pStyle w:val="BodyTextIndent"/>
        <w:ind w:hanging="0" w:start="0" w:end="0"/>
        <w:rPr/>
      </w:pPr>
      <w:r>
        <w:rPr/>
        <w:t>The data model for cost reporting was distributed by Orlean Dorsey.  Based on information that was gathered at this meeting, the model will change to include the different types of costs mentioned above.  Therefore, the dimension tables will remain the same except for the cost fact table.</w:t>
      </w:r>
    </w:p>
    <w:p>
      <w:pPr>
        <w:pStyle w:val="BodyTextIndent"/>
        <w:ind w:hanging="0" w:start="0" w:end="0"/>
        <w:rPr/>
      </w:pPr>
      <w:r>
        <w:rPr/>
      </w:r>
    </w:p>
    <w:p>
      <w:pPr>
        <w:pStyle w:val="BodyTextIndent"/>
        <w:ind w:hanging="0" w:start="0" w:end="0"/>
        <w:rPr>
          <w:b/>
          <w:u w:val="single"/>
        </w:rPr>
      </w:pPr>
      <w:r>
        <w:rPr>
          <w:b/>
          <w:u w:val="single"/>
        </w:rPr>
      </w:r>
    </w:p>
    <w:p>
      <w:pPr>
        <w:pStyle w:val="BodyTextIndent"/>
        <w:ind w:hanging="0" w:start="0" w:end="0"/>
        <w:rPr>
          <w:b/>
          <w:u w:val="single"/>
        </w:rPr>
      </w:pPr>
      <w:r>
        <w:rPr>
          <w:b/>
          <w:u w:val="single"/>
        </w:rPr>
        <w:t>Process Improvements:</w:t>
      </w:r>
    </w:p>
    <w:p>
      <w:pPr>
        <w:pStyle w:val="BodyTextIndent"/>
        <w:ind w:hanging="0" w:start="0" w:end="0"/>
        <w:rPr/>
      </w:pPr>
      <w:r>
        <w:rPr/>
        <w:t xml:space="preserve">Every business unit has a different definition on planning and variance.  A clearer definition of plan / variance is needed.   When an entity does plan what types of costs is included; Direct O&amp;M Expenses, Capitalized costs, allocated costs from service companies.  </w:t>
      </w:r>
    </w:p>
    <w:p>
      <w:pPr>
        <w:pStyle w:val="BodyTextIndent"/>
        <w:ind w:hanging="0" w:start="0" w:end="0"/>
        <w:rPr/>
      </w:pPr>
      <w:r>
        <w:rPr/>
      </w:r>
    </w:p>
    <w:p>
      <w:pPr>
        <w:pStyle w:val="BodyTextIndent"/>
        <w:ind w:hanging="0" w:start="0" w:end="0"/>
        <w:rPr/>
      </w:pPr>
      <w:r>
        <w:rPr/>
        <w:t>What is the type of variance report should the business units be focused on? Net or Gross Costs.</w:t>
      </w:r>
    </w:p>
    <w:p>
      <w:pPr>
        <w:pStyle w:val="BodyTextIndent"/>
        <w:ind w:hanging="0" w:start="0" w:end="0"/>
        <w:rPr/>
      </w:pPr>
      <w:r>
        <w:rPr/>
      </w:r>
    </w:p>
    <w:p>
      <w:pPr>
        <w:pStyle w:val="BodyTextIndent"/>
        <w:ind w:hanging="0" w:start="0" w:end="0"/>
        <w:rPr/>
      </w:pPr>
      <w:r>
        <w:rPr/>
        <w:t xml:space="preserve">There is no consistency in running assessment on a 5 or 8 account.  </w:t>
      </w:r>
    </w:p>
    <w:p>
      <w:pPr>
        <w:pStyle w:val="BodyTextIndent"/>
        <w:ind w:hanging="0" w:start="0" w:end="0"/>
        <w:rPr/>
      </w:pPr>
      <w:r>
        <w:rPr/>
      </w:r>
    </w:p>
    <w:p>
      <w:pPr>
        <w:pStyle w:val="BodyTextIndent"/>
        <w:ind w:hanging="0" w:start="0" w:end="0"/>
        <w:rPr/>
      </w:pPr>
      <w:r>
        <w:rPr/>
      </w:r>
    </w:p>
    <w:p>
      <w:pPr>
        <w:pStyle w:val="BodyTextIndent"/>
        <w:ind w:hanging="0" w:start="0" w:end="0"/>
        <w:rPr/>
      </w:pPr>
      <w:r>
        <w:rPr/>
      </w:r>
    </w:p>
    <w:p>
      <w:pPr>
        <w:pStyle w:val="BodyTextIndent"/>
        <w:ind w:hanging="0" w:start="0" w:end="0"/>
        <w:rPr/>
      </w:pPr>
      <w:r>
        <w:rPr/>
      </w:r>
    </w:p>
    <w:p>
      <w:pPr>
        <w:pStyle w:val="BodyTextIndent"/>
        <w:ind w:hanging="0" w:start="0" w:end="0"/>
        <w:rPr/>
      </w:pPr>
      <w:r>
        <w:rPr/>
      </w:r>
    </w:p>
    <w:p>
      <w:pPr>
        <w:pStyle w:val="BodyTextIndent"/>
        <w:ind w:hanging="0" w:start="0" w:end="0"/>
        <w:rPr/>
      </w:pPr>
      <w:r>
        <w:rPr/>
      </w:r>
    </w:p>
    <w:p>
      <w:pPr>
        <w:pStyle w:val="BodyTextIndent"/>
        <w:ind w:firstLine="720" w:end="0"/>
        <w:rPr/>
      </w:pPr>
      <w:r>
        <w:rPr/>
      </w:r>
    </w:p>
    <w:p>
      <w:pPr>
        <w:pStyle w:val="BodyTextIndent"/>
        <w:ind w:firstLine="720" w:end="0"/>
        <w:rPr/>
      </w:pPr>
      <w:r>
        <w:rPr/>
      </w:r>
    </w:p>
    <w:p>
      <w:pPr>
        <w:pStyle w:val="BodyTextIndent"/>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2001-01-26T17:39:00Z</dcterms:created>
  <dc:creator>ENRON</dc:creator>
  <dc:description/>
  <dc:language>en-CA</dc:language>
  <cp:lastModifiedBy>ENRON</cp:lastModifiedBy>
  <cp:lastPrinted>2001-01-29T10:30:00Z</cp:lastPrinted>
  <dcterms:modified xsi:type="dcterms:W3CDTF">2001-01-29T14:10:00Z</dcterms:modified>
  <cp:revision>4</cp:revision>
  <dc:subject/>
  <dc:title>Cost Reporting Highlights :  Session 2  - January 25, 2001</dc:title>
</cp:coreProperties>
</file>