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xlsx" ContentType="application/vnd.openxmlformats-officedocument.spreadsheetml.shee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114935" distR="114935" simplePos="0" locked="0" layoutInCell="1" allowOverlap="1" relativeHeight="3">
            <wp:simplePos x="0" y="0"/>
            <wp:positionH relativeFrom="column">
              <wp:posOffset>-571500</wp:posOffset>
            </wp:positionH>
            <wp:positionV relativeFrom="paragraph">
              <wp:posOffset>-225425</wp:posOffset>
            </wp:positionV>
            <wp:extent cx="1714500" cy="6826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4" t="-54" r="-24" b="-54"/>
                    <a:stretch>
                      <a:fillRect/>
                    </a:stretch>
                  </pic:blipFill>
                  <pic:spPr bwMode="auto">
                    <a:xfrm>
                      <a:off x="0" y="0"/>
                      <a:ext cx="1714500" cy="682625"/>
                    </a:xfrm>
                    <a:prstGeom prst="rect">
                      <a:avLst/>
                    </a:prstGeom>
                    <a:noFill/>
                  </pic:spPr>
                </pic:pic>
              </a:graphicData>
            </a:graphic>
          </wp:anchor>
        </w:drawing>
      </w:r>
      <w:r>
        <w:rPr/>
        <w:t xml:space="preserve">                                                                                                           </w:t>
      </w:r>
    </w:p>
    <w:p>
      <w:pPr>
        <w:pStyle w:val="Normal"/>
        <w:rPr/>
      </w:pPr>
      <w:r>
        <w:rPr/>
      </w:r>
    </w:p>
    <w:p>
      <w:pPr>
        <w:pStyle w:val="Normal"/>
        <w:rPr/>
      </w:pPr>
      <w:r>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4">
                <wp:simplePos x="0" y="0"/>
                <wp:positionH relativeFrom="column">
                  <wp:posOffset>2281555</wp:posOffset>
                </wp:positionH>
                <wp:positionV relativeFrom="paragraph">
                  <wp:posOffset>41275</wp:posOffset>
                </wp:positionV>
                <wp:extent cx="3437890" cy="351790"/>
                <wp:effectExtent l="0" t="0" r="0" b="0"/>
                <wp:wrapNone/>
                <wp:docPr id="2" name="Frame1"/>
                <a:graphic xmlns:a="http://schemas.openxmlformats.org/drawingml/2006/main">
                  <a:graphicData uri="http://schemas.microsoft.com/office/word/2010/wordprocessingShape">
                    <wps:wsp>
                      <wps:cNvSpPr txBox="1"/>
                      <wps:spPr>
                        <a:xfrm>
                          <a:off x="0" y="0"/>
                          <a:ext cx="3437890" cy="351790"/>
                        </a:xfrm>
                        <a:prstGeom prst="rect"/>
                        <a:solidFill>
                          <a:srgbClr val="FFFFFF"/>
                        </a:solidFill>
                        <a:ln w="9525">
                          <a:solidFill>
                            <a:srgbClr val="000000"/>
                          </a:solidFill>
                        </a:ln>
                      </wps:spPr>
                      <wps:txbx>
                        <w:txbxContent>
                          <w:p>
                            <w:pPr>
                              <w:pStyle w:val="Heading1"/>
                              <w:ind w:hanging="0" w:start="0"/>
                              <w:rPr/>
                            </w:pPr>
                            <w:r>
                              <w:rPr/>
                              <w:t>Correlation between NBSK price vs. Paper Prices</w:t>
                            </w:r>
                          </w:p>
                        </w:txbxContent>
                      </wps:txbx>
                      <wps:bodyPr anchor="t" lIns="91440" tIns="45720" rIns="91440" bIns="45720">
                        <a:noAutofit/>
                      </wps:bodyPr>
                    </wps:wsp>
                  </a:graphicData>
                </a:graphic>
              </wp:anchor>
            </w:drawing>
          </mc:Choice>
          <mc:Fallback>
            <w:pict>
              <v:rect fillcolor="#FFFFFF" strokecolor="#000000" strokeweight="0pt" style="position:absolute;rotation:-0;width:270.7pt;height:27.7pt;mso-wrap-distance-left:9.05pt;mso-wrap-distance-right:9.05pt;mso-wrap-distance-top:0pt;mso-wrap-distance-bottom:0pt;margin-top:3.25pt;mso-position-vertical-relative:text;margin-left:179.65pt;mso-position-horizontal-relative:text">
                <v:textbox>
                  <w:txbxContent>
                    <w:p>
                      <w:pPr>
                        <w:pStyle w:val="Heading1"/>
                        <w:ind w:hanging="0" w:start="0"/>
                        <w:rPr/>
                      </w:pPr>
                      <w:r>
                        <w:rPr/>
                        <w:t>Correlation between NBSK price vs. Paper Prices</w:t>
                      </w:r>
                    </w:p>
                  </w:txbxContent>
                </v:textbox>
                <w10:wrap type="none"/>
              </v:rect>
            </w:pict>
          </mc:Fallback>
        </mc:AlternateContent>
      </w:r>
    </w:p>
    <w:p>
      <w:pPr>
        <w:pStyle w:val="Normal"/>
        <w:rPr/>
      </w:pPr>
      <w:r>
        <w:rPr/>
      </w:r>
    </w:p>
    <w:p>
      <w:pPr>
        <w:pStyle w:val="Normal"/>
        <w:tabs>
          <w:tab w:val="clear" w:pos="720"/>
          <w:tab w:val="left" w:pos="6513" w:leader="none"/>
        </w:tabs>
        <w:rPr/>
      </w:pPr>
      <w:r>
        <w:rPr/>
        <w:tab/>
      </w:r>
    </w:p>
    <w:p>
      <w:pPr>
        <w:pStyle w:val="Normal"/>
        <w:tabs>
          <w:tab w:val="clear" w:pos="720"/>
          <w:tab w:val="left" w:pos="6513" w:leader="none"/>
        </w:tabs>
        <w:rPr/>
      </w:pPr>
      <w:r>
        <w:rPr/>
        <w:t xml:space="preserve">                                                                                                   </w:t>
      </w:r>
      <w:r>
        <w:rPr>
          <w:sz w:val="16"/>
        </w:rPr>
        <w:t>August 9, 2001</w:t>
      </w:r>
    </w:p>
    <w:p>
      <w:pPr>
        <w:pStyle w:val="Normal"/>
        <w:tabs>
          <w:tab w:val="clear" w:pos="720"/>
          <w:tab w:val="left" w:pos="6513" w:leader="none"/>
        </w:tabs>
        <w:rPr>
          <w:sz w:val="16"/>
        </w:rPr>
      </w:pPr>
      <w:r>
        <w:rPr>
          <w:sz w:val="16"/>
        </w:rPr>
      </w:r>
    </w:p>
    <w:p>
      <w:pPr>
        <w:pStyle w:val="Normal"/>
        <w:tabs>
          <w:tab w:val="clear" w:pos="720"/>
          <w:tab w:val="left" w:pos="6513" w:leader="none"/>
        </w:tabs>
        <w:rPr>
          <w:sz w:val="20"/>
        </w:rPr>
      </w:pPr>
      <w:r>
        <w:rPr>
          <w:sz w:val="20"/>
        </w:rPr>
        <w:t>The correlation between NBSK and the following grades of paper:</w:t>
      </w:r>
    </w:p>
    <w:p>
      <w:pPr>
        <w:pStyle w:val="Normal"/>
        <w:tabs>
          <w:tab w:val="clear" w:pos="720"/>
          <w:tab w:val="left" w:pos="6513" w:leader="none"/>
        </w:tabs>
        <w:rPr/>
      </w:pPr>
      <w:r>
        <w:rPr>
          <w:b/>
          <w:bCs/>
          <w:sz w:val="20"/>
        </w:rPr>
        <w:t>Uncoated Free Sheet</w:t>
      </w:r>
      <w:r>
        <w:rPr>
          <w:sz w:val="20"/>
        </w:rPr>
        <w:t>: Std. No. 4   83-85 Xerog, 50 lb. Offset rolls, 20 lb. Formbond</w:t>
      </w:r>
    </w:p>
    <w:p>
      <w:pPr>
        <w:pStyle w:val="Normal"/>
        <w:tabs>
          <w:tab w:val="clear" w:pos="720"/>
          <w:tab w:val="left" w:pos="6513" w:leader="none"/>
        </w:tabs>
        <w:rPr/>
      </w:pPr>
      <w:r>
        <w:rPr>
          <w:b/>
          <w:bCs/>
          <w:sz w:val="20"/>
        </w:rPr>
        <w:t>Coated Papers</w:t>
      </w:r>
      <w:r>
        <w:rPr>
          <w:sz w:val="20"/>
        </w:rPr>
        <w:t>: Ctd. No. 1   80 lb, Ctd. No. 3  60 lb. Rolls, Ctd grwd No 4  50#, Ctd No. 5,  34 lb. roll, Ctd, No. 5   40 lb</w:t>
      </w:r>
    </w:p>
    <w:p>
      <w:pPr>
        <w:pStyle w:val="Normal"/>
        <w:tabs>
          <w:tab w:val="clear" w:pos="720"/>
          <w:tab w:val="left" w:pos="6513" w:leader="none"/>
        </w:tabs>
        <w:rPr/>
      </w:pPr>
      <w:r>
        <w:rPr>
          <w:b/>
          <w:bCs/>
          <w:sz w:val="20"/>
        </w:rPr>
        <w:t>Uncoated Groundwood</w:t>
      </w:r>
      <w:r>
        <w:rPr>
          <w:sz w:val="20"/>
        </w:rPr>
        <w:t>: 35 lb. SC-A offset, 22.5 lb white dir.</w:t>
      </w:r>
    </w:p>
    <w:p>
      <w:pPr>
        <w:pStyle w:val="Normal"/>
        <w:tabs>
          <w:tab w:val="clear" w:pos="720"/>
          <w:tab w:val="left" w:pos="6513" w:leader="none"/>
        </w:tabs>
        <w:rPr>
          <w:sz w:val="20"/>
        </w:rPr>
      </w:pPr>
      <w:r>
        <w:rPr>
          <w:sz w:val="20"/>
        </w:rPr>
      </w:r>
    </w:p>
    <w:p>
      <w:pPr>
        <w:pStyle w:val="Heading2"/>
        <w:ind w:hanging="0" w:start="0"/>
        <w:rPr/>
      </w:pPr>
      <w:r>
        <w:rPr/>
        <w:t>Correlation coefficients between NBSK price and the prices of the paper grades</w:t>
      </w:r>
    </w:p>
    <w:tbl>
      <w:tblPr>
        <w:tblW w:w="12604" w:type="dxa"/>
        <w:jc w:val="start"/>
        <w:tblInd w:w="-5" w:type="dxa"/>
        <w:tblLayout w:type="fixed"/>
        <w:tblCellMar>
          <w:top w:w="0" w:type="dxa"/>
          <w:start w:w="0" w:type="dxa"/>
          <w:bottom w:w="0" w:type="dxa"/>
          <w:end w:w="0" w:type="dxa"/>
        </w:tblCellMar>
      </w:tblPr>
      <w:tblGrid>
        <w:gridCol w:w="1060"/>
        <w:gridCol w:w="1393"/>
        <w:gridCol w:w="1635"/>
        <w:gridCol w:w="1168"/>
        <w:gridCol w:w="1207"/>
        <w:gridCol w:w="941"/>
        <w:gridCol w:w="976"/>
        <w:gridCol w:w="976"/>
        <w:gridCol w:w="968"/>
        <w:gridCol w:w="1034"/>
        <w:gridCol w:w="1246"/>
      </w:tblGrid>
      <w:tr>
        <w:trPr>
          <w:trHeight w:val="270" w:hRule="atLeast"/>
        </w:trPr>
        <w:tc>
          <w:tcPr>
            <w:tcW w:w="1060" w:type="dxa"/>
            <w:tcBorders>
              <w:top w:val="single" w:sz="4" w:space="0" w:color="000000"/>
              <w:start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Correlation</w:t>
            </w:r>
          </w:p>
        </w:tc>
        <w:tc>
          <w:tcPr>
            <w:tcW w:w="3028" w:type="dxa"/>
            <w:gridSpan w:val="2"/>
            <w:tcBorders>
              <w:top w:val="single" w:sz="4" w:space="0" w:color="000000"/>
              <w:start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Uncoated Free Sheet</w:t>
            </w:r>
          </w:p>
        </w:tc>
        <w:tc>
          <w:tcPr>
            <w:tcW w:w="1168" w:type="dxa"/>
            <w:tcBorders>
              <w:top w:val="single" w:sz="4"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2148" w:type="dxa"/>
            <w:gridSpan w:val="2"/>
            <w:tcBorders>
              <w:top w:val="single" w:sz="4" w:space="0" w:color="000000"/>
              <w:start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Papers</w:t>
            </w:r>
          </w:p>
        </w:tc>
        <w:tc>
          <w:tcPr>
            <w:tcW w:w="976" w:type="dxa"/>
            <w:tcBorders>
              <w:top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976" w:type="dxa"/>
            <w:tcBorders>
              <w:top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968" w:type="dxa"/>
            <w:tcBorders>
              <w:top w:val="single" w:sz="4"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2280" w:type="dxa"/>
            <w:gridSpan w:val="2"/>
            <w:tcBorders>
              <w:top w:val="single" w:sz="4" w:space="0" w:color="000000"/>
              <w:start w:val="single" w:sz="4"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Uncoated Groundwood</w:t>
            </w:r>
          </w:p>
        </w:tc>
      </w:tr>
      <w:tr>
        <w:trPr>
          <w:trHeight w:val="240" w:hRule="atLeast"/>
        </w:trPr>
        <w:tc>
          <w:tcPr>
            <w:tcW w:w="1060" w:type="dxa"/>
            <w:tcBorders>
              <w:start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1393" w:type="dxa"/>
            <w:tcBorders>
              <w:start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Std. No. 4</w:t>
            </w:r>
          </w:p>
        </w:tc>
        <w:tc>
          <w:tcPr>
            <w:tcW w:w="1635"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RISI</w:t>
            </w:r>
          </w:p>
        </w:tc>
        <w:tc>
          <w:tcPr>
            <w:tcW w:w="1168" w:type="dxa"/>
            <w:tcBorders>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20 lb.</w:t>
            </w:r>
          </w:p>
        </w:tc>
        <w:tc>
          <w:tcPr>
            <w:tcW w:w="1207"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 1</w:t>
            </w:r>
          </w:p>
        </w:tc>
        <w:tc>
          <w:tcPr>
            <w:tcW w:w="941"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No.3</w:t>
            </w:r>
          </w:p>
        </w:tc>
        <w:tc>
          <w:tcPr>
            <w:tcW w:w="97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Grwd</w:t>
            </w:r>
          </w:p>
        </w:tc>
        <w:tc>
          <w:tcPr>
            <w:tcW w:w="97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 5</w:t>
            </w:r>
          </w:p>
        </w:tc>
        <w:tc>
          <w:tcPr>
            <w:tcW w:w="968" w:type="dxa"/>
            <w:tcBorders>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 5</w:t>
            </w:r>
          </w:p>
        </w:tc>
        <w:tc>
          <w:tcPr>
            <w:tcW w:w="1034"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35 lb. SC-A</w:t>
            </w:r>
          </w:p>
        </w:tc>
        <w:tc>
          <w:tcPr>
            <w:tcW w:w="1246" w:type="dxa"/>
            <w:tcBorders>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22.5 lb. White</w:t>
            </w:r>
          </w:p>
        </w:tc>
      </w:tr>
      <w:tr>
        <w:trPr>
          <w:trHeight w:val="255" w:hRule="atLeast"/>
        </w:trPr>
        <w:tc>
          <w:tcPr>
            <w:tcW w:w="1060" w:type="dxa"/>
            <w:tcBorders>
              <w:start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1393" w:type="dxa"/>
            <w:tcBorders>
              <w:start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83-85 Brt Xerog.</w:t>
            </w:r>
          </w:p>
        </w:tc>
        <w:tc>
          <w:tcPr>
            <w:tcW w:w="1635"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50 lb. Offset Rolls</w:t>
            </w:r>
          </w:p>
        </w:tc>
        <w:tc>
          <w:tcPr>
            <w:tcW w:w="1168" w:type="dxa"/>
            <w:tcBorders>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Formbond</w:t>
            </w:r>
          </w:p>
        </w:tc>
        <w:tc>
          <w:tcPr>
            <w:tcW w:w="1207"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80 lb. + Sheets</w:t>
            </w:r>
          </w:p>
        </w:tc>
        <w:tc>
          <w:tcPr>
            <w:tcW w:w="941"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60 lb. Rolls</w:t>
            </w:r>
          </w:p>
        </w:tc>
        <w:tc>
          <w:tcPr>
            <w:tcW w:w="97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No 4 50#</w:t>
            </w:r>
          </w:p>
        </w:tc>
        <w:tc>
          <w:tcPr>
            <w:tcW w:w="97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34 lb. Roll</w:t>
            </w:r>
          </w:p>
        </w:tc>
        <w:tc>
          <w:tcPr>
            <w:tcW w:w="968" w:type="dxa"/>
            <w:tcBorders>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40 lb.</w:t>
            </w:r>
          </w:p>
        </w:tc>
        <w:tc>
          <w:tcPr>
            <w:tcW w:w="1034"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Offset</w:t>
            </w:r>
          </w:p>
        </w:tc>
        <w:tc>
          <w:tcPr>
            <w:tcW w:w="1246" w:type="dxa"/>
            <w:tcBorders>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Directory</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No lag or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0.7905</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0.8191</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0.8435</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0.6389</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0.7751</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0.8040</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0.6605</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0.6808</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0.6639</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0.6603</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 xml:space="preserve">1month lag </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0.7842</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0.8219</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0.8375</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0.6246</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0.7606</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0.7537</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0.6233</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0.6429</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0.6201</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0.6040</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2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0.7602</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0.8120</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0.8204</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0.6061</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0.7380</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0.6886</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0.5805</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0.5990</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0.5710</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0.5502</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3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0.7211</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0.7908</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0.7921</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0.5820</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0.7091</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0.6068</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0.5322</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0.5478</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0.5165</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0.4995</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4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0.6711</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0.7547</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0.7494</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0.5476</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0.6675</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0.5095</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0.4748</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0.4864</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0.4571</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0.4466</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5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0.6127</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0.7066</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0.6967</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0.5102</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0.6186</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0.4220</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0.4194</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0.4277</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0.4022</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0.3951</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6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0.5543</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0.6492</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0.6375</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0.4694</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0.5626</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0.3423</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0.3658</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0.3696</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0.3516</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0.3458</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 </w:t>
            </w:r>
          </w:p>
        </w:tc>
        <w:tc>
          <w:tcPr>
            <w:tcW w:w="1393"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635"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168"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207"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41"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7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7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68"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034"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24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Correlation</w:t>
            </w:r>
          </w:p>
        </w:tc>
        <w:tc>
          <w:tcPr>
            <w:tcW w:w="1393"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635"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168"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207"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41"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7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7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68"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034"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24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1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0.7782</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0.8008</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0.8369</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0.6448</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0.7772</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0.8334</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0.6860</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0.7033</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0.6988</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0.7117</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2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0.7501</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0.7696</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0.8156</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0.6457</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0.7692</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0.8350</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0.6983</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0.7127</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0.7233</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0.7600</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3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0.7145</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0.7315</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0.7845</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0.6437</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0.7520</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0.8172</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0.7006</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0.7123</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0.7406</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0.7977</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4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0.6705</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0.6856</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0.7440</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0.6376</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0.7253</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0.7833</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0.6918</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0.6975</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0.7481</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0.8172</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5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0.6256</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0.6374</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0.6996</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0.6288</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0.6908</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0.7234</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0.6686</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0.6699</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0.7449</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0.8282</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6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0.5828</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0.5894</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0.6507</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0.6192</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0.6517</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0.6544</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0.6392</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0.6372</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0.7353</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0.8295</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7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0.5371</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0.5398</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0.5961</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0.6047</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0.6076</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0.5742</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0.5998</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0.5922</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0.7157</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0.8234</w:t>
            </w:r>
          </w:p>
        </w:tc>
      </w:tr>
    </w:tbl>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t>This relationship can be presented graphically:</w:t>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bookmarkStart w:id="0" w:name="_1058853801"/>
      <w:bookmarkEnd w:id="0"/>
      <w:r>
        <w:rPr/>
        <w:object w:dxaOrig="11521" w:dyaOrig="742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03pt;height:373.55pt" filled="f" o:ole="">
            <v:imagedata r:id="rId4" o:title=""/>
          </v:shape>
          <o:OLEObject Type="Embed" ProgID="Excel.Sheet.12" ShapeID="ole_rId3" DrawAspect="Content" ObjectID="_1701880111" r:id="rId3"/>
        </w:object>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t>The numbers in bold show the level at which the highest correlation is reached between NBSK and the different grades of paper. The correlation coefficient ranges from the highest 84% (UFS – 20lb. formbond) to the lowest 65% (CTD- 80 lb.)</w:t>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t>From the table above one can see that the correlation factors are very high. Statistically though this might not prove right since the prices themselves carry a degree of upward trend. To more accurately describe the relationship between these prices we ran the correlation between the changes in prices. The results are shown in the table below.</w:t>
      </w:r>
    </w:p>
    <w:p>
      <w:pPr>
        <w:pStyle w:val="Normal"/>
        <w:tabs>
          <w:tab w:val="clear" w:pos="720"/>
          <w:tab w:val="left" w:pos="6513" w:leader="none"/>
        </w:tabs>
        <w:rPr>
          <w:sz w:val="20"/>
        </w:rPr>
      </w:pPr>
      <w:r>
        <w:rPr>
          <w:sz w:val="20"/>
        </w:rPr>
      </w:r>
    </w:p>
    <w:p>
      <w:pPr>
        <w:pStyle w:val="Heading2"/>
        <w:ind w:hanging="0" w:start="0"/>
        <w:rPr/>
      </w:pPr>
      <w:r>
        <w:rPr/>
        <w:t>Correlation coefficients between the changes in NBSK price and the changes in paper grades prices</w:t>
      </w:r>
    </w:p>
    <w:tbl>
      <w:tblPr>
        <w:tblW w:w="12604" w:type="dxa"/>
        <w:jc w:val="start"/>
        <w:tblInd w:w="-5" w:type="dxa"/>
        <w:tblLayout w:type="fixed"/>
        <w:tblCellMar>
          <w:top w:w="0" w:type="dxa"/>
          <w:start w:w="0" w:type="dxa"/>
          <w:bottom w:w="0" w:type="dxa"/>
          <w:end w:w="0" w:type="dxa"/>
        </w:tblCellMar>
      </w:tblPr>
      <w:tblGrid>
        <w:gridCol w:w="1060"/>
        <w:gridCol w:w="1393"/>
        <w:gridCol w:w="1635"/>
        <w:gridCol w:w="1168"/>
        <w:gridCol w:w="1207"/>
        <w:gridCol w:w="941"/>
        <w:gridCol w:w="976"/>
        <w:gridCol w:w="976"/>
        <w:gridCol w:w="968"/>
        <w:gridCol w:w="1034"/>
        <w:gridCol w:w="1246"/>
      </w:tblGrid>
      <w:tr>
        <w:trPr>
          <w:trHeight w:val="270" w:hRule="atLeast"/>
        </w:trPr>
        <w:tc>
          <w:tcPr>
            <w:tcW w:w="1060" w:type="dxa"/>
            <w:tcBorders>
              <w:top w:val="single" w:sz="4" w:space="0" w:color="000000"/>
              <w:start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Correlation</w:t>
            </w:r>
          </w:p>
        </w:tc>
        <w:tc>
          <w:tcPr>
            <w:tcW w:w="3028" w:type="dxa"/>
            <w:gridSpan w:val="2"/>
            <w:tcBorders>
              <w:top w:val="single" w:sz="4" w:space="0" w:color="000000"/>
              <w:start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Uncoated Free Sheet</w:t>
            </w:r>
          </w:p>
        </w:tc>
        <w:tc>
          <w:tcPr>
            <w:tcW w:w="1168" w:type="dxa"/>
            <w:tcBorders>
              <w:top w:val="single" w:sz="4"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2148" w:type="dxa"/>
            <w:gridSpan w:val="2"/>
            <w:tcBorders>
              <w:top w:val="single" w:sz="4" w:space="0" w:color="000000"/>
              <w:start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Papers</w:t>
            </w:r>
          </w:p>
        </w:tc>
        <w:tc>
          <w:tcPr>
            <w:tcW w:w="976" w:type="dxa"/>
            <w:tcBorders>
              <w:top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976" w:type="dxa"/>
            <w:tcBorders>
              <w:top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968" w:type="dxa"/>
            <w:tcBorders>
              <w:top w:val="single" w:sz="4"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2280" w:type="dxa"/>
            <w:gridSpan w:val="2"/>
            <w:tcBorders>
              <w:top w:val="single" w:sz="4" w:space="0" w:color="000000"/>
              <w:start w:val="single" w:sz="4" w:space="0" w:color="000000"/>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Uncoated Groundwood</w:t>
            </w:r>
          </w:p>
        </w:tc>
      </w:tr>
      <w:tr>
        <w:trPr>
          <w:trHeight w:val="240" w:hRule="atLeast"/>
        </w:trPr>
        <w:tc>
          <w:tcPr>
            <w:tcW w:w="1060" w:type="dxa"/>
            <w:tcBorders>
              <w:start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1393" w:type="dxa"/>
            <w:tcBorders>
              <w:start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Std. No. 4</w:t>
            </w:r>
          </w:p>
        </w:tc>
        <w:tc>
          <w:tcPr>
            <w:tcW w:w="1635"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RISI</w:t>
            </w:r>
          </w:p>
        </w:tc>
        <w:tc>
          <w:tcPr>
            <w:tcW w:w="1168" w:type="dxa"/>
            <w:tcBorders>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20 lb.</w:t>
            </w:r>
          </w:p>
        </w:tc>
        <w:tc>
          <w:tcPr>
            <w:tcW w:w="1207"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 1</w:t>
            </w:r>
          </w:p>
        </w:tc>
        <w:tc>
          <w:tcPr>
            <w:tcW w:w="941"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No.3</w:t>
            </w:r>
          </w:p>
        </w:tc>
        <w:tc>
          <w:tcPr>
            <w:tcW w:w="97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Grwd</w:t>
            </w:r>
          </w:p>
        </w:tc>
        <w:tc>
          <w:tcPr>
            <w:tcW w:w="97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 5</w:t>
            </w:r>
          </w:p>
        </w:tc>
        <w:tc>
          <w:tcPr>
            <w:tcW w:w="968" w:type="dxa"/>
            <w:tcBorders>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 5</w:t>
            </w:r>
          </w:p>
        </w:tc>
        <w:tc>
          <w:tcPr>
            <w:tcW w:w="1034"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35 lb. SC-A</w:t>
            </w:r>
          </w:p>
        </w:tc>
        <w:tc>
          <w:tcPr>
            <w:tcW w:w="1246" w:type="dxa"/>
            <w:tcBorders>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22.5 lb. White</w:t>
            </w:r>
          </w:p>
        </w:tc>
      </w:tr>
      <w:tr>
        <w:trPr>
          <w:trHeight w:val="255" w:hRule="atLeast"/>
        </w:trPr>
        <w:tc>
          <w:tcPr>
            <w:tcW w:w="1060" w:type="dxa"/>
            <w:tcBorders>
              <w:start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1393" w:type="dxa"/>
            <w:tcBorders>
              <w:start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83-85 Brt Xerog.</w:t>
            </w:r>
          </w:p>
        </w:tc>
        <w:tc>
          <w:tcPr>
            <w:tcW w:w="1635"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50 lb. Offset Rolls</w:t>
            </w:r>
          </w:p>
        </w:tc>
        <w:tc>
          <w:tcPr>
            <w:tcW w:w="1168" w:type="dxa"/>
            <w:tcBorders>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Formbond</w:t>
            </w:r>
          </w:p>
        </w:tc>
        <w:tc>
          <w:tcPr>
            <w:tcW w:w="1207"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80 lb. + Sheets</w:t>
            </w:r>
          </w:p>
        </w:tc>
        <w:tc>
          <w:tcPr>
            <w:tcW w:w="941"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60 lb. Rolls</w:t>
            </w:r>
          </w:p>
        </w:tc>
        <w:tc>
          <w:tcPr>
            <w:tcW w:w="97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No 4 50#</w:t>
            </w:r>
          </w:p>
        </w:tc>
        <w:tc>
          <w:tcPr>
            <w:tcW w:w="97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34 lb. Roll</w:t>
            </w:r>
          </w:p>
        </w:tc>
        <w:tc>
          <w:tcPr>
            <w:tcW w:w="968" w:type="dxa"/>
            <w:tcBorders>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40 lb.</w:t>
            </w:r>
          </w:p>
        </w:tc>
        <w:tc>
          <w:tcPr>
            <w:tcW w:w="1034"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Offset</w:t>
            </w:r>
          </w:p>
        </w:tc>
        <w:tc>
          <w:tcPr>
            <w:tcW w:w="1246" w:type="dxa"/>
            <w:tcBorders>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Directory</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No lag or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0.3646</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6"/>
              </w:rPr>
            </w:pPr>
            <w:r>
              <w:rPr>
                <w:rFonts w:cs="Arial" w:ascii="Arial" w:hAnsi="Arial"/>
                <w:b/>
                <w:bCs/>
                <w:sz w:val="18"/>
                <w:szCs w:val="16"/>
              </w:rPr>
              <w:t>0.3245</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0.3989</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0.3249</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0.3349</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0.0257</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0.3006</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0.3461</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0.2910</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0.1122</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 xml:space="preserve">1month lag </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6"/>
              </w:rPr>
            </w:pPr>
            <w:r>
              <w:rPr>
                <w:rFonts w:cs="Arial" w:ascii="Arial" w:hAnsi="Arial"/>
                <w:b/>
                <w:bCs/>
                <w:sz w:val="18"/>
                <w:szCs w:val="16"/>
              </w:rPr>
              <w:t>0.3674</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0.2755</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0.2779</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0.1687</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0.2345</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0.0081</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0.1704</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0.1633</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0.1618</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-0.0850</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2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0.3186</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0.2458</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0.2791</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0.2209</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0.1745</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0.0144</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0.1592</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0.1839</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0.1594</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-0.0998</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3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0.2289</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0.3226</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0.3618</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6"/>
              </w:rPr>
            </w:pPr>
            <w:r>
              <w:rPr>
                <w:rFonts w:cs="Arial" w:ascii="Arial" w:hAnsi="Arial"/>
                <w:b/>
                <w:bCs/>
                <w:sz w:val="18"/>
                <w:szCs w:val="16"/>
              </w:rPr>
              <w:t>0.3682</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6"/>
              </w:rPr>
            </w:pPr>
            <w:r>
              <w:rPr>
                <w:rFonts w:cs="Arial" w:ascii="Arial" w:hAnsi="Arial"/>
                <w:b/>
                <w:bCs/>
                <w:sz w:val="18"/>
                <w:szCs w:val="16"/>
              </w:rPr>
              <w:t>0.3696</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-0.0151</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0.2541</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0.2616</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0.1408</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0.0499</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4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0.1710</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0.2533</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0.2426</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0.1559</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0.2087</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-0.1134</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-0.0473</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-0.0617</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-0.1249</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-0.0452</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5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-0.0041</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0.1896</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0.1572</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0.1088</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0.1894</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-0.0797</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-0.0535</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-0.0044</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-0.1412</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-0.0715</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6 month lag</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-0.0185</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0.1823</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0.1299</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-0.0396</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0.1385</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-0.0481</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-0.0166</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0.0432</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0.0045</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-0.0528</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 </w:t>
            </w:r>
          </w:p>
        </w:tc>
        <w:tc>
          <w:tcPr>
            <w:tcW w:w="1393"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635"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168"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207"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41"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7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7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68"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034"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24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Correlation</w:t>
            </w:r>
          </w:p>
        </w:tc>
        <w:tc>
          <w:tcPr>
            <w:tcW w:w="1393"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635"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168"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207"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41"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7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7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968"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034"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c>
          <w:tcPr>
            <w:tcW w:w="1246" w:type="dxa"/>
            <w:tcBorders>
              <w:bottom w:val="single" w:sz="4" w:space="0" w:color="000000"/>
              <w:end w:val="single" w:sz="4" w:space="0" w:color="000000"/>
            </w:tcBorders>
            <w:vAlign w:val="bottom"/>
          </w:tcPr>
          <w:p>
            <w:pPr>
              <w:pStyle w:val="Normal"/>
              <w:snapToGrid w:val="false"/>
              <w:jc w:val="center"/>
              <w:rPr>
                <w:rFonts w:ascii="Arial" w:hAnsi="Arial" w:eastAsia="Arial Unicode MS" w:cs="Arial"/>
                <w:sz w:val="16"/>
                <w:szCs w:val="16"/>
              </w:rPr>
            </w:pPr>
            <w:r>
              <w:rPr>
                <w:rFonts w:eastAsia="Arial Unicode MS" w:cs="Arial" w:ascii="Arial" w:hAnsi="Arial"/>
                <w:sz w:val="16"/>
                <w:szCs w:val="16"/>
              </w:rPr>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1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0.3291</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0.2637</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0.3425</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0.1504</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0.3539</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0.0602</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0.3735</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0.3313</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0.2849</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0.0828</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2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0.1550</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0.1382</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0.2235</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0.0837</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0.3140</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0.0269</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0.2868</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0.2531</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0.1953</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0.3040</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3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0.1924</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0.1718</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0.2211</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0.1184</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0.3125</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0.0303</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0.3194</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6"/>
              </w:rPr>
            </w:pPr>
            <w:r>
              <w:rPr>
                <w:rFonts w:cs="Arial" w:ascii="Arial" w:hAnsi="Arial"/>
                <w:b/>
                <w:bCs/>
                <w:sz w:val="18"/>
                <w:szCs w:val="16"/>
              </w:rPr>
              <w:t>0.3726</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0.2767</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6"/>
              </w:rPr>
            </w:pPr>
            <w:r>
              <w:rPr>
                <w:rFonts w:cs="Arial" w:ascii="Arial" w:hAnsi="Arial"/>
                <w:b/>
                <w:bCs/>
                <w:sz w:val="18"/>
                <w:szCs w:val="16"/>
              </w:rPr>
              <w:t>0.5241</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4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0.0361</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0.0550</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0.0878</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0.0719</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0.2944</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6"/>
              </w:rPr>
            </w:pPr>
            <w:r>
              <w:rPr>
                <w:rFonts w:cs="Arial" w:ascii="Arial" w:hAnsi="Arial"/>
                <w:b/>
                <w:bCs/>
                <w:sz w:val="18"/>
                <w:szCs w:val="16"/>
              </w:rPr>
              <w:t>0.0778</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6"/>
              </w:rPr>
            </w:pPr>
            <w:r>
              <w:rPr>
                <w:rFonts w:cs="Arial" w:ascii="Arial" w:hAnsi="Arial"/>
                <w:b/>
                <w:bCs/>
                <w:sz w:val="18"/>
                <w:szCs w:val="16"/>
              </w:rPr>
              <w:t>0.4057</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0.3305</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b/>
                <w:bCs/>
                <w:sz w:val="18"/>
                <w:szCs w:val="18"/>
              </w:rPr>
            </w:pPr>
            <w:r>
              <w:rPr>
                <w:rFonts w:cs="Arial" w:ascii="Arial" w:hAnsi="Arial"/>
                <w:b/>
                <w:bCs/>
                <w:sz w:val="18"/>
                <w:szCs w:val="18"/>
              </w:rPr>
              <w:t>0.2965</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0.2490</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5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-0.0276</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-0.0005</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0.1183</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0.0166</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0.1864</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0.0225</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0.1702</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0.1329</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0.1806</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0.2916</w:t>
            </w:r>
          </w:p>
        </w:tc>
      </w:tr>
      <w:tr>
        <w:trPr>
          <w:trHeight w:val="255" w:hRule="atLeast"/>
        </w:trPr>
        <w:tc>
          <w:tcPr>
            <w:tcW w:w="10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16"/>
                <w:szCs w:val="16"/>
              </w:rPr>
            </w:pPr>
            <w:r>
              <w:rPr>
                <w:rFonts w:cs="Arial" w:ascii="Arial" w:hAnsi="Arial"/>
                <w:sz w:val="16"/>
                <w:szCs w:val="16"/>
              </w:rPr>
              <w:t>6 month lead</w:t>
            </w:r>
          </w:p>
        </w:tc>
        <w:tc>
          <w:tcPr>
            <w:tcW w:w="1393"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0.0847</w:t>
            </w:r>
          </w:p>
        </w:tc>
        <w:tc>
          <w:tcPr>
            <w:tcW w:w="1635"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0.0756</w:t>
            </w:r>
          </w:p>
        </w:tc>
        <w:tc>
          <w:tcPr>
            <w:tcW w:w="11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0.1603</w:t>
            </w:r>
          </w:p>
        </w:tc>
        <w:tc>
          <w:tcPr>
            <w:tcW w:w="1207"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0.1575</w:t>
            </w:r>
          </w:p>
        </w:tc>
        <w:tc>
          <w:tcPr>
            <w:tcW w:w="941"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0.1695</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0.0286</w:t>
            </w:r>
          </w:p>
        </w:tc>
        <w:tc>
          <w:tcPr>
            <w:tcW w:w="976"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0.2602</w:t>
            </w:r>
          </w:p>
        </w:tc>
        <w:tc>
          <w:tcPr>
            <w:tcW w:w="968"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0.3039</w:t>
            </w:r>
          </w:p>
        </w:tc>
        <w:tc>
          <w:tcPr>
            <w:tcW w:w="1034" w:type="dxa"/>
            <w:tcBorders>
              <w:bottom w:val="single" w:sz="4" w:space="0" w:color="000000"/>
              <w:end w:val="single" w:sz="4" w:space="0" w:color="000000"/>
            </w:tcBorders>
            <w:vAlign w:val="bottom"/>
          </w:tcPr>
          <w:p>
            <w:pPr>
              <w:pStyle w:val="Normal"/>
              <w:jc w:val="center"/>
              <w:rPr>
                <w:rFonts w:ascii="Arial" w:hAnsi="Arial" w:eastAsia="Arial Unicode MS" w:cs="Arial"/>
                <w:sz w:val="16"/>
                <w:szCs w:val="16"/>
              </w:rPr>
            </w:pPr>
            <w:r>
              <w:rPr>
                <w:rFonts w:cs="Arial" w:ascii="Arial" w:hAnsi="Arial"/>
                <w:sz w:val="16"/>
                <w:szCs w:val="16"/>
              </w:rPr>
              <w:t>0.2808</w:t>
            </w:r>
          </w:p>
        </w:tc>
        <w:tc>
          <w:tcPr>
            <w:tcW w:w="1246" w:type="dxa"/>
            <w:tcBorders>
              <w:bottom w:val="single" w:sz="4" w:space="0" w:color="000000"/>
              <w:end w:val="single" w:sz="4" w:space="0" w:color="000000"/>
            </w:tcBorders>
            <w:vAlign w:val="bottom"/>
          </w:tcPr>
          <w:p>
            <w:pPr>
              <w:pStyle w:val="Normal"/>
              <w:jc w:val="center"/>
              <w:rPr>
                <w:rFonts w:ascii="Arial" w:hAnsi="Arial" w:eastAsia="Arial Unicode MS" w:cs="Arial"/>
                <w:sz w:val="18"/>
                <w:szCs w:val="18"/>
              </w:rPr>
            </w:pPr>
            <w:r>
              <w:rPr>
                <w:rFonts w:cs="Arial" w:ascii="Arial" w:hAnsi="Arial"/>
                <w:sz w:val="18"/>
                <w:szCs w:val="18"/>
              </w:rPr>
              <w:t>0.2190</w:t>
            </w:r>
          </w:p>
        </w:tc>
      </w:tr>
    </w:tbl>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t>From this table we can clearly see that the correlation between the price of NBSK and the prices of paper are much weaker now.  In this case the range of the correlation factors is between 52% (UGW- Directory paper) to the lowest 7% (CGW- No. 4  50#).</w:t>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r>
    </w:p>
    <w:p>
      <w:pPr>
        <w:pStyle w:val="Normal"/>
        <w:tabs>
          <w:tab w:val="clear" w:pos="720"/>
          <w:tab w:val="left" w:pos="6513" w:leader="none"/>
        </w:tabs>
        <w:rPr/>
      </w:pPr>
      <w:r>
        <w:rPr>
          <w:sz w:val="20"/>
        </w:rPr>
        <w:t>In addition, to have a better feeling of the relationship between the prices, that is to see whether one  (lets say NBSK) affects the other (any of the paper prices) and if yes by how much, regression analysis would be the next step. In this case, I ran a regression analysis between NBSK and each one of the paper grades prices and the following are the R</w:t>
      </w:r>
      <w:r>
        <w:rPr>
          <w:sz w:val="20"/>
          <w:vertAlign w:val="superscript"/>
        </w:rPr>
        <w:t>2</w:t>
      </w:r>
      <w:r>
        <w:rPr>
          <w:sz w:val="20"/>
        </w:rPr>
        <w:t>s</w:t>
      </w:r>
      <w:r>
        <w:rPr>
          <w:sz w:val="20"/>
          <w:vertAlign w:val="superscript"/>
        </w:rPr>
        <w:t xml:space="preserve"> </w:t>
      </w:r>
      <w:r>
        <w:rPr>
          <w:sz w:val="20"/>
        </w:rPr>
        <w:t>.  The R</w:t>
      </w:r>
      <w:r>
        <w:rPr>
          <w:sz w:val="20"/>
          <w:vertAlign w:val="superscript"/>
        </w:rPr>
        <w:t>2</w:t>
      </w:r>
      <w:r>
        <w:rPr>
          <w:sz w:val="20"/>
        </w:rPr>
        <w:t>s are positive which means that NBSK prices and paper prices move in the same direction but the magnitude of this relationship is very small. The R</w:t>
      </w:r>
      <w:r>
        <w:rPr>
          <w:sz w:val="20"/>
          <w:vertAlign w:val="superscript"/>
        </w:rPr>
        <w:t>2</w:t>
      </w:r>
      <w:r>
        <w:rPr>
          <w:sz w:val="20"/>
        </w:rPr>
        <w:t>s range from the highest 16% (UFS-20 lb Formbond) to the lowest 1% (UGW- Directory paper)</w:t>
      </w:r>
    </w:p>
    <w:p>
      <w:pPr>
        <w:pStyle w:val="Normal"/>
        <w:tabs>
          <w:tab w:val="clear" w:pos="720"/>
          <w:tab w:val="left" w:pos="6513" w:leader="none"/>
        </w:tabs>
        <w:rPr>
          <w:sz w:val="20"/>
          <w:vertAlign w:val="superscript"/>
        </w:rPr>
      </w:pPr>
      <w:r>
        <w:rPr>
          <w:sz w:val="20"/>
          <w:vertAlign w:val="superscript"/>
        </w:rPr>
      </w:r>
    </w:p>
    <w:p>
      <w:pPr>
        <w:pStyle w:val="Normal"/>
        <w:tabs>
          <w:tab w:val="clear" w:pos="720"/>
          <w:tab w:val="left" w:pos="6513" w:leader="none"/>
        </w:tabs>
        <w:rPr>
          <w:sz w:val="20"/>
          <w:vertAlign w:val="superscript"/>
        </w:rPr>
      </w:pPr>
      <w:r>
        <w:rPr>
          <w:sz w:val="20"/>
          <w:vertAlign w:val="superscript"/>
        </w:rPr>
      </w:r>
    </w:p>
    <w:tbl>
      <w:tblPr>
        <w:tblW w:w="12061" w:type="dxa"/>
        <w:jc w:val="start"/>
        <w:tblInd w:w="-5" w:type="dxa"/>
        <w:tblLayout w:type="fixed"/>
        <w:tblCellMar>
          <w:top w:w="0" w:type="dxa"/>
          <w:start w:w="0" w:type="dxa"/>
          <w:bottom w:w="0" w:type="dxa"/>
          <w:end w:w="0" w:type="dxa"/>
        </w:tblCellMar>
      </w:tblPr>
      <w:tblGrid>
        <w:gridCol w:w="1368"/>
        <w:gridCol w:w="1089"/>
        <w:gridCol w:w="1276"/>
        <w:gridCol w:w="976"/>
        <w:gridCol w:w="1089"/>
        <w:gridCol w:w="847"/>
        <w:gridCol w:w="976"/>
        <w:gridCol w:w="1116"/>
        <w:gridCol w:w="1196"/>
        <w:gridCol w:w="966"/>
        <w:gridCol w:w="1162"/>
      </w:tblGrid>
      <w:tr>
        <w:trPr>
          <w:trHeight w:val="255" w:hRule="atLeast"/>
        </w:trPr>
        <w:tc>
          <w:tcPr>
            <w:tcW w:w="1368" w:type="dxa"/>
            <w:tcBorders>
              <w:top w:val="single" w:sz="4" w:space="0" w:color="000000"/>
              <w:start w:val="single" w:sz="4" w:space="0" w:color="000000"/>
            </w:tcBorders>
            <w:shd w:fill="CCFFFF" w:val="clear"/>
            <w:vAlign w:val="bottom"/>
          </w:tcPr>
          <w:p>
            <w:pPr>
              <w:pStyle w:val="Normal"/>
              <w:rPr>
                <w:rFonts w:ascii="Arial" w:hAnsi="Arial" w:eastAsia="Arial Unicode MS" w:cs="Arial"/>
                <w:b/>
                <w:bCs/>
                <w:sz w:val="16"/>
                <w:szCs w:val="16"/>
              </w:rPr>
            </w:pPr>
            <w:r>
              <w:rPr>
                <w:rFonts w:cs="Arial" w:ascii="Arial" w:hAnsi="Arial"/>
                <w:b/>
                <w:bCs/>
                <w:sz w:val="16"/>
                <w:szCs w:val="16"/>
              </w:rPr>
              <w:t>Regression</w:t>
            </w:r>
          </w:p>
        </w:tc>
        <w:tc>
          <w:tcPr>
            <w:tcW w:w="2365" w:type="dxa"/>
            <w:gridSpan w:val="2"/>
            <w:tcBorders>
              <w:top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Uncoated Free Sheet</w:t>
            </w:r>
          </w:p>
        </w:tc>
        <w:tc>
          <w:tcPr>
            <w:tcW w:w="976" w:type="dxa"/>
            <w:tcBorders>
              <w:top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1936" w:type="dxa"/>
            <w:gridSpan w:val="2"/>
            <w:tcBorders>
              <w:top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Papers</w:t>
            </w:r>
          </w:p>
        </w:tc>
        <w:tc>
          <w:tcPr>
            <w:tcW w:w="976" w:type="dxa"/>
            <w:tcBorders>
              <w:top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1116" w:type="dxa"/>
            <w:tcBorders>
              <w:top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1196" w:type="dxa"/>
            <w:tcBorders>
              <w:top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2128" w:type="dxa"/>
            <w:gridSpan w:val="2"/>
            <w:tcBorders>
              <w:top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Uncoated Groundwood</w:t>
            </w:r>
          </w:p>
        </w:tc>
      </w:tr>
      <w:tr>
        <w:trPr>
          <w:trHeight w:val="285" w:hRule="atLeast"/>
        </w:trPr>
        <w:tc>
          <w:tcPr>
            <w:tcW w:w="1368" w:type="dxa"/>
            <w:tcBorders>
              <w:start w:val="single" w:sz="4" w:space="0" w:color="000000"/>
            </w:tcBorders>
            <w:shd w:fill="CCFFFF" w:val="clear"/>
            <w:vAlign w:val="bottom"/>
          </w:tcPr>
          <w:p>
            <w:pPr>
              <w:pStyle w:val="Normal"/>
              <w:rPr>
                <w:rFonts w:ascii="Arial" w:hAnsi="Arial" w:eastAsia="Arial Unicode MS" w:cs="Arial"/>
                <w:b/>
                <w:bCs/>
                <w:sz w:val="16"/>
                <w:szCs w:val="16"/>
              </w:rPr>
            </w:pPr>
            <w:r>
              <w:rPr>
                <w:rFonts w:cs="Arial" w:ascii="Arial" w:hAnsi="Arial"/>
                <w:b/>
                <w:bCs/>
                <w:sz w:val="16"/>
                <w:szCs w:val="16"/>
              </w:rPr>
              <w:t> </w:t>
            </w:r>
          </w:p>
        </w:tc>
        <w:tc>
          <w:tcPr>
            <w:tcW w:w="1089"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Std. No. 4</w:t>
            </w:r>
          </w:p>
        </w:tc>
        <w:tc>
          <w:tcPr>
            <w:tcW w:w="127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RISI</w:t>
            </w:r>
          </w:p>
        </w:tc>
        <w:tc>
          <w:tcPr>
            <w:tcW w:w="97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20 lb.</w:t>
            </w:r>
          </w:p>
        </w:tc>
        <w:tc>
          <w:tcPr>
            <w:tcW w:w="1089"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 1</w:t>
            </w:r>
          </w:p>
        </w:tc>
        <w:tc>
          <w:tcPr>
            <w:tcW w:w="847"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No.3</w:t>
            </w:r>
          </w:p>
        </w:tc>
        <w:tc>
          <w:tcPr>
            <w:tcW w:w="97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Grwd</w:t>
            </w:r>
          </w:p>
        </w:tc>
        <w:tc>
          <w:tcPr>
            <w:tcW w:w="111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 5</w:t>
            </w:r>
          </w:p>
        </w:tc>
        <w:tc>
          <w:tcPr>
            <w:tcW w:w="119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Coated No. 5</w:t>
            </w:r>
          </w:p>
        </w:tc>
        <w:tc>
          <w:tcPr>
            <w:tcW w:w="966" w:type="dxa"/>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35 lb. SC-A</w:t>
            </w:r>
          </w:p>
        </w:tc>
        <w:tc>
          <w:tcPr>
            <w:tcW w:w="1162" w:type="dxa"/>
            <w:tcBorders>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22.5 lb. White</w:t>
            </w:r>
          </w:p>
        </w:tc>
      </w:tr>
      <w:tr>
        <w:trPr>
          <w:trHeight w:val="255" w:hRule="atLeast"/>
        </w:trPr>
        <w:tc>
          <w:tcPr>
            <w:tcW w:w="1368" w:type="dxa"/>
            <w:tcBorders>
              <w:start w:val="single" w:sz="4" w:space="0" w:color="000000"/>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 </w:t>
            </w:r>
          </w:p>
        </w:tc>
        <w:tc>
          <w:tcPr>
            <w:tcW w:w="1089"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83-85 Brt Xerog.</w:t>
            </w:r>
          </w:p>
        </w:tc>
        <w:tc>
          <w:tcPr>
            <w:tcW w:w="127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50 lb. Offset Rolls</w:t>
            </w:r>
          </w:p>
        </w:tc>
        <w:tc>
          <w:tcPr>
            <w:tcW w:w="97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Formbond</w:t>
            </w:r>
          </w:p>
        </w:tc>
        <w:tc>
          <w:tcPr>
            <w:tcW w:w="1089"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80 lb. + Sheets</w:t>
            </w:r>
          </w:p>
        </w:tc>
        <w:tc>
          <w:tcPr>
            <w:tcW w:w="847"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60 lb. Rolls</w:t>
            </w:r>
          </w:p>
        </w:tc>
        <w:tc>
          <w:tcPr>
            <w:tcW w:w="97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No 4 50#</w:t>
            </w:r>
          </w:p>
        </w:tc>
        <w:tc>
          <w:tcPr>
            <w:tcW w:w="111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eastAsia="Arial" w:cs="Arial" w:ascii="Arial" w:hAnsi="Arial"/>
                <w:b/>
                <w:bCs/>
                <w:sz w:val="14"/>
                <w:szCs w:val="14"/>
              </w:rPr>
              <w:t xml:space="preserve">  </w:t>
            </w:r>
            <w:r>
              <w:rPr>
                <w:rFonts w:cs="Arial" w:ascii="Arial" w:hAnsi="Arial"/>
                <w:b/>
                <w:bCs/>
                <w:sz w:val="14"/>
                <w:szCs w:val="14"/>
              </w:rPr>
              <w:t>34 lb. Roll</w:t>
            </w:r>
          </w:p>
        </w:tc>
        <w:tc>
          <w:tcPr>
            <w:tcW w:w="119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40 lb.</w:t>
            </w:r>
          </w:p>
        </w:tc>
        <w:tc>
          <w:tcPr>
            <w:tcW w:w="966" w:type="dxa"/>
            <w:tcBorders>
              <w:bottom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Offset</w:t>
            </w:r>
          </w:p>
        </w:tc>
        <w:tc>
          <w:tcPr>
            <w:tcW w:w="1162" w:type="dxa"/>
            <w:tcBorders>
              <w:bottom w:val="single" w:sz="4" w:space="0" w:color="000000"/>
              <w:end w:val="single" w:sz="4" w:space="0" w:color="000000"/>
            </w:tcBorders>
            <w:shd w:fill="CCFFFF" w:val="clear"/>
            <w:vAlign w:val="bottom"/>
          </w:tcPr>
          <w:p>
            <w:pPr>
              <w:pStyle w:val="Normal"/>
              <w:rPr>
                <w:rFonts w:ascii="Arial" w:hAnsi="Arial" w:eastAsia="Arial Unicode MS" w:cs="Arial"/>
                <w:b/>
                <w:bCs/>
                <w:sz w:val="14"/>
                <w:szCs w:val="14"/>
              </w:rPr>
            </w:pPr>
            <w:r>
              <w:rPr>
                <w:rFonts w:cs="Arial" w:ascii="Arial" w:hAnsi="Arial"/>
                <w:b/>
                <w:bCs/>
                <w:sz w:val="14"/>
                <w:szCs w:val="14"/>
              </w:rPr>
              <w:t>Directory</w:t>
            </w:r>
          </w:p>
        </w:tc>
      </w:tr>
      <w:tr>
        <w:trPr>
          <w:trHeight w:val="525" w:hRule="atLeast"/>
        </w:trPr>
        <w:tc>
          <w:tcPr>
            <w:tcW w:w="1368" w:type="dxa"/>
            <w:tcBorders>
              <w:start w:val="single" w:sz="4" w:space="0" w:color="000000"/>
              <w:bottom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R</w:t>
            </w:r>
            <w:r>
              <w:rPr>
                <w:rFonts w:cs="Arial" w:ascii="Arial" w:hAnsi="Arial"/>
                <w:b/>
                <w:bCs/>
                <w:sz w:val="20"/>
                <w:szCs w:val="20"/>
                <w:vertAlign w:val="superscript"/>
              </w:rPr>
              <w:t>2</w:t>
            </w:r>
          </w:p>
        </w:tc>
        <w:tc>
          <w:tcPr>
            <w:tcW w:w="1089" w:type="dxa"/>
            <w:tcBorders>
              <w:bottom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13%</w:t>
            </w:r>
          </w:p>
        </w:tc>
        <w:tc>
          <w:tcPr>
            <w:tcW w:w="1276" w:type="dxa"/>
            <w:tcBorders>
              <w:bottom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w:t>
            </w:r>
          </w:p>
        </w:tc>
        <w:tc>
          <w:tcPr>
            <w:tcW w:w="976" w:type="dxa"/>
            <w:tcBorders>
              <w:bottom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16%</w:t>
            </w:r>
          </w:p>
        </w:tc>
        <w:tc>
          <w:tcPr>
            <w:tcW w:w="1089" w:type="dxa"/>
            <w:tcBorders>
              <w:bottom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w:t>
            </w:r>
          </w:p>
        </w:tc>
        <w:tc>
          <w:tcPr>
            <w:tcW w:w="847" w:type="dxa"/>
            <w:tcBorders>
              <w:bottom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w:t>
            </w:r>
          </w:p>
        </w:tc>
        <w:tc>
          <w:tcPr>
            <w:tcW w:w="976" w:type="dxa"/>
            <w:tcBorders>
              <w:bottom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11%</w:t>
            </w:r>
          </w:p>
        </w:tc>
        <w:tc>
          <w:tcPr>
            <w:tcW w:w="1116" w:type="dxa"/>
            <w:tcBorders>
              <w:bottom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9%</w:t>
            </w:r>
          </w:p>
        </w:tc>
        <w:tc>
          <w:tcPr>
            <w:tcW w:w="1196" w:type="dxa"/>
            <w:tcBorders>
              <w:bottom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12%</w:t>
            </w:r>
          </w:p>
        </w:tc>
        <w:tc>
          <w:tcPr>
            <w:tcW w:w="966" w:type="dxa"/>
            <w:tcBorders>
              <w:bottom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8%</w:t>
            </w:r>
          </w:p>
        </w:tc>
        <w:tc>
          <w:tcPr>
            <w:tcW w:w="1162" w:type="dxa"/>
            <w:tcBorders>
              <w:bottom w:val="single" w:sz="4" w:space="0" w:color="000000"/>
              <w:end w:val="single" w:sz="4" w:space="0" w:color="000000"/>
            </w:tcBorders>
            <w:vAlign w:val="bottom"/>
          </w:tcPr>
          <w:p>
            <w:pPr>
              <w:pStyle w:val="Normal"/>
              <w:jc w:val="end"/>
              <w:rPr>
                <w:rFonts w:ascii="Arial" w:hAnsi="Arial" w:eastAsia="Arial Unicode MS" w:cs="Arial"/>
                <w:b/>
                <w:bCs/>
                <w:sz w:val="20"/>
                <w:szCs w:val="20"/>
              </w:rPr>
            </w:pPr>
            <w:r>
              <w:rPr>
                <w:rFonts w:cs="Arial" w:ascii="Arial" w:hAnsi="Arial"/>
                <w:b/>
                <w:bCs/>
                <w:sz w:val="20"/>
                <w:szCs w:val="20"/>
              </w:rPr>
              <w:t>1%</w:t>
            </w:r>
          </w:p>
        </w:tc>
      </w:tr>
    </w:tbl>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r>
    </w:p>
    <w:p>
      <w:pPr>
        <w:pStyle w:val="Normal"/>
        <w:tabs>
          <w:tab w:val="clear" w:pos="720"/>
          <w:tab w:val="left" w:pos="6513" w:leader="none"/>
        </w:tabs>
        <w:rPr>
          <w:sz w:val="20"/>
        </w:rPr>
      </w:pPr>
      <w:r>
        <w:rPr>
          <w:sz w:val="20"/>
        </w:rPr>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tabs>
        <w:tab w:val="clear" w:pos="720"/>
        <w:tab w:val="left" w:pos="6513" w:leader="none"/>
      </w:tabs>
      <w:jc w:val="center"/>
      <w:outlineLvl w:val="1"/>
    </w:pPr>
    <w:rPr>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4">
    <w:name w:val="xl24"/>
    <w:basedOn w:val="Normal"/>
    <w:qFormat/>
    <w:pPr>
      <w:pBdr>
        <w:top w:val="single" w:sz="4" w:space="0" w:color="000000"/>
        <w:bottom w:val="single" w:sz="4" w:space="0" w:color="000000"/>
      </w:pBdr>
      <w:shd w:fill="CCFFFF" w:val="clear"/>
      <w:spacing w:before="100" w:after="100"/>
    </w:pPr>
    <w:rPr>
      <w:rFonts w:ascii="Arial" w:hAnsi="Arial" w:eastAsia="Arial Unicode MS" w:cs="Arial"/>
      <w:b/>
      <w:bCs/>
      <w:sz w:val="14"/>
      <w:szCs w:val="14"/>
    </w:rPr>
  </w:style>
  <w:style w:type="paragraph" w:styleId="xl25">
    <w:name w:val="xl25"/>
    <w:basedOn w:val="Normal"/>
    <w:qFormat/>
    <w:pPr>
      <w:pBdr>
        <w:top w:val="single" w:sz="4" w:space="0" w:color="000000"/>
        <w:bottom w:val="single" w:sz="4" w:space="0" w:color="000000"/>
        <w:right w:val="single" w:sz="4" w:space="0" w:color="000000"/>
      </w:pBdr>
      <w:shd w:fill="CCFFFF" w:val="clear"/>
      <w:spacing w:before="100" w:after="100"/>
    </w:pPr>
    <w:rPr>
      <w:rFonts w:ascii="Arial" w:hAnsi="Arial" w:eastAsia="Arial Unicode MS" w:cs="Arial"/>
      <w:b/>
      <w:bCs/>
      <w:sz w:val="14"/>
      <w:szCs w:val="14"/>
    </w:rPr>
  </w:style>
  <w:style w:type="paragraph" w:styleId="xl26">
    <w:name w:val="xl26"/>
    <w:basedOn w:val="Normal"/>
    <w:qFormat/>
    <w:pPr>
      <w:pBdr>
        <w:left w:val="single" w:sz="4" w:space="0" w:color="000000"/>
      </w:pBdr>
      <w:shd w:fill="CCFFFF" w:val="clear"/>
      <w:spacing w:before="100" w:after="100"/>
    </w:pPr>
    <w:rPr>
      <w:rFonts w:ascii="Arial" w:hAnsi="Arial" w:eastAsia="Arial Unicode MS" w:cs="Arial"/>
      <w:b/>
      <w:bCs/>
      <w:sz w:val="14"/>
      <w:szCs w:val="14"/>
    </w:rPr>
  </w:style>
  <w:style w:type="paragraph" w:styleId="xl27">
    <w:name w:val="xl27"/>
    <w:basedOn w:val="Normal"/>
    <w:qFormat/>
    <w:pPr>
      <w:pBdr>
        <w:top w:val="single" w:sz="4" w:space="0" w:color="000000"/>
      </w:pBdr>
      <w:shd w:fill="CCFFFF" w:val="clear"/>
      <w:spacing w:before="100" w:after="100"/>
    </w:pPr>
    <w:rPr>
      <w:rFonts w:ascii="Arial" w:hAnsi="Arial" w:eastAsia="Arial Unicode MS" w:cs="Arial"/>
      <w:b/>
      <w:bCs/>
      <w:sz w:val="14"/>
      <w:szCs w:val="14"/>
    </w:rPr>
  </w:style>
  <w:style w:type="paragraph" w:styleId="xl28">
    <w:name w:val="xl28"/>
    <w:basedOn w:val="Normal"/>
    <w:qFormat/>
    <w:pPr>
      <w:pBdr>
        <w:top w:val="single" w:sz="4" w:space="0" w:color="000000"/>
        <w:right w:val="single" w:sz="4" w:space="0" w:color="000000"/>
      </w:pBdr>
      <w:shd w:fill="CCFFFF" w:val="clear"/>
      <w:spacing w:before="100" w:after="100"/>
    </w:pPr>
    <w:rPr>
      <w:rFonts w:ascii="Arial" w:hAnsi="Arial" w:eastAsia="Arial Unicode MS" w:cs="Arial"/>
      <w:b/>
      <w:bCs/>
      <w:sz w:val="14"/>
      <w:szCs w:val="14"/>
    </w:rPr>
  </w:style>
  <w:style w:type="paragraph" w:styleId="xl29">
    <w:name w:val="xl29"/>
    <w:basedOn w:val="Normal"/>
    <w:qFormat/>
    <w:pPr>
      <w:shd w:fill="CCFFFF" w:val="clear"/>
      <w:spacing w:before="100" w:after="100"/>
    </w:pPr>
    <w:rPr>
      <w:rFonts w:ascii="Arial" w:hAnsi="Arial" w:eastAsia="Arial Unicode MS" w:cs="Arial"/>
      <w:b/>
      <w:bCs/>
      <w:sz w:val="14"/>
      <w:szCs w:val="14"/>
    </w:rPr>
  </w:style>
  <w:style w:type="paragraph" w:styleId="xl30">
    <w:name w:val="xl30"/>
    <w:basedOn w:val="Normal"/>
    <w:qFormat/>
    <w:pPr>
      <w:pBdr>
        <w:right w:val="single" w:sz="4" w:space="0" w:color="000000"/>
      </w:pBdr>
      <w:shd w:fill="CCFFFF" w:val="clear"/>
      <w:spacing w:before="100" w:after="100"/>
    </w:pPr>
    <w:rPr>
      <w:rFonts w:ascii="Arial" w:hAnsi="Arial" w:eastAsia="Arial Unicode MS" w:cs="Arial"/>
      <w:b/>
      <w:bCs/>
      <w:sz w:val="14"/>
      <w:szCs w:val="14"/>
    </w:rPr>
  </w:style>
  <w:style w:type="paragraph" w:styleId="xl31">
    <w:name w:val="xl31"/>
    <w:basedOn w:val="Normal"/>
    <w:qFormat/>
    <w:pPr>
      <w:pBdr>
        <w:left w:val="single" w:sz="4" w:space="0" w:color="000000"/>
        <w:bottom w:val="single" w:sz="4" w:space="0" w:color="000000"/>
      </w:pBdr>
      <w:shd w:fill="CCFFFF" w:val="clear"/>
      <w:spacing w:before="100" w:after="100"/>
    </w:pPr>
    <w:rPr>
      <w:rFonts w:ascii="Arial" w:hAnsi="Arial" w:eastAsia="Arial Unicode MS" w:cs="Arial"/>
      <w:b/>
      <w:bCs/>
      <w:sz w:val="14"/>
      <w:szCs w:val="14"/>
    </w:rPr>
  </w:style>
  <w:style w:type="paragraph" w:styleId="xl32">
    <w:name w:val="xl32"/>
    <w:basedOn w:val="Normal"/>
    <w:qFormat/>
    <w:pPr>
      <w:pBdr>
        <w:bottom w:val="single" w:sz="4" w:space="0" w:color="000000"/>
      </w:pBdr>
      <w:shd w:fill="CCFFFF" w:val="clear"/>
      <w:spacing w:before="100" w:after="100"/>
    </w:pPr>
    <w:rPr>
      <w:rFonts w:ascii="Arial" w:hAnsi="Arial" w:eastAsia="Arial Unicode MS" w:cs="Arial"/>
      <w:b/>
      <w:bCs/>
      <w:sz w:val="14"/>
      <w:szCs w:val="14"/>
    </w:rPr>
  </w:style>
  <w:style w:type="paragraph" w:styleId="xl33">
    <w:name w:val="xl33"/>
    <w:basedOn w:val="Normal"/>
    <w:qFormat/>
    <w:pPr>
      <w:pBdr>
        <w:bottom w:val="single" w:sz="4" w:space="0" w:color="000000"/>
        <w:right w:val="single" w:sz="4" w:space="0" w:color="000000"/>
      </w:pBdr>
      <w:shd w:fill="CCFFFF" w:val="clear"/>
      <w:spacing w:before="100" w:after="100"/>
    </w:pPr>
    <w:rPr>
      <w:rFonts w:ascii="Arial" w:hAnsi="Arial" w:eastAsia="Arial Unicode MS" w:cs="Arial"/>
      <w:b/>
      <w:bCs/>
      <w:sz w:val="14"/>
      <w:szCs w:val="14"/>
    </w:rPr>
  </w:style>
  <w:style w:type="paragraph" w:styleId="xl34">
    <w:name w:val="xl34"/>
    <w:basedOn w:val="Normal"/>
    <w:qFormat/>
    <w:pPr>
      <w:spacing w:before="100" w:after="100"/>
    </w:pPr>
    <w:rPr>
      <w:rFonts w:ascii="Arial" w:hAnsi="Arial" w:eastAsia="Arial Unicode MS" w:cs="Arial"/>
      <w:b/>
      <w:bCs/>
      <w:sz w:val="18"/>
      <w:szCs w:val="18"/>
    </w:rPr>
  </w:style>
  <w:style w:type="paragraph" w:styleId="xl35">
    <w:name w:val="xl35"/>
    <w:basedOn w:val="Normal"/>
    <w:qFormat/>
    <w:pPr>
      <w:spacing w:before="100" w:after="100"/>
    </w:pPr>
    <w:rPr>
      <w:rFonts w:ascii="Arial" w:hAnsi="Arial" w:eastAsia="Arial Unicode MS" w:cs="Arial"/>
      <w:sz w:val="16"/>
      <w:szCs w:val="16"/>
    </w:rPr>
  </w:style>
  <w:style w:type="paragraph" w:styleId="xl36">
    <w:name w:val="xl36"/>
    <w:basedOn w:val="Normal"/>
    <w:qFormat/>
    <w:pPr>
      <w:pBdr>
        <w:top w:val="single" w:sz="4" w:space="0" w:color="000000"/>
        <w:left w:val="single" w:sz="4" w:space="0" w:color="000000"/>
      </w:pBdr>
      <w:spacing w:before="100" w:after="100"/>
    </w:pPr>
    <w:rPr>
      <w:rFonts w:ascii="Arial" w:hAnsi="Arial" w:eastAsia="Arial Unicode MS" w:cs="Arial"/>
      <w:sz w:val="16"/>
      <w:szCs w:val="16"/>
    </w:rPr>
  </w:style>
  <w:style w:type="paragraph" w:styleId="xl37">
    <w:name w:val="xl37"/>
    <w:basedOn w:val="Normal"/>
    <w:qFormat/>
    <w:pPr>
      <w:pBdr>
        <w:top w:val="single" w:sz="4" w:space="0" w:color="000000"/>
      </w:pBdr>
      <w:spacing w:before="100" w:after="100"/>
    </w:pPr>
    <w:rPr>
      <w:rFonts w:ascii="Arial" w:hAnsi="Arial" w:eastAsia="Arial Unicode MS" w:cs="Arial"/>
      <w:b/>
      <w:bCs/>
      <w:sz w:val="18"/>
      <w:szCs w:val="18"/>
    </w:rPr>
  </w:style>
  <w:style w:type="paragraph" w:styleId="xl38">
    <w:name w:val="xl38"/>
    <w:basedOn w:val="Normal"/>
    <w:qFormat/>
    <w:pPr>
      <w:pBdr>
        <w:top w:val="single" w:sz="4" w:space="0" w:color="000000"/>
      </w:pBdr>
      <w:spacing w:before="100" w:after="100"/>
    </w:pPr>
    <w:rPr>
      <w:rFonts w:ascii="Arial" w:hAnsi="Arial" w:eastAsia="Arial Unicode MS" w:cs="Arial"/>
      <w:sz w:val="16"/>
      <w:szCs w:val="16"/>
    </w:rPr>
  </w:style>
  <w:style w:type="paragraph" w:styleId="xl39">
    <w:name w:val="xl39"/>
    <w:basedOn w:val="Normal"/>
    <w:qFormat/>
    <w:pPr>
      <w:pBdr>
        <w:top w:val="single" w:sz="4" w:space="0" w:color="000000"/>
        <w:right w:val="single" w:sz="4" w:space="0" w:color="000000"/>
      </w:pBdr>
      <w:spacing w:before="100" w:after="100"/>
    </w:pPr>
    <w:rPr>
      <w:rFonts w:ascii="Arial" w:hAnsi="Arial" w:eastAsia="Arial Unicode MS" w:cs="Arial"/>
      <w:sz w:val="16"/>
      <w:szCs w:val="16"/>
    </w:rPr>
  </w:style>
  <w:style w:type="paragraph" w:styleId="xl40">
    <w:name w:val="xl40"/>
    <w:basedOn w:val="Normal"/>
    <w:qFormat/>
    <w:pPr>
      <w:pBdr>
        <w:left w:val="single" w:sz="4" w:space="0" w:color="000000"/>
      </w:pBdr>
      <w:spacing w:before="100" w:after="100"/>
    </w:pPr>
    <w:rPr>
      <w:rFonts w:ascii="Arial" w:hAnsi="Arial" w:eastAsia="Arial Unicode MS" w:cs="Arial"/>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2001-08-09T10:20:00Z</dcterms:created>
  <dc:creator>mcaushol</dc:creator>
  <dc:description/>
  <dc:language>en-CA</dc:language>
  <cp:lastModifiedBy>mcaushol</cp:lastModifiedBy>
  <cp:lastPrinted>2001-08-09T09:17:00Z</cp:lastPrinted>
  <dcterms:modified xsi:type="dcterms:W3CDTF">2001-08-09T12:46:00Z</dcterms:modified>
  <cp:revision>32</cp:revision>
  <dc:subject/>
  <dc:title>   </dc:title>
</cp:coreProperties>
</file>