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</w:r>
    </w:p>
    <w:p>
      <w:pPr>
        <w:pStyle w:val="Normal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10">
            <wp:simplePos x="0" y="0"/>
            <wp:positionH relativeFrom="column">
              <wp:posOffset>4686300</wp:posOffset>
            </wp:positionH>
            <wp:positionV relativeFrom="paragraph">
              <wp:posOffset>-457200</wp:posOffset>
            </wp:positionV>
            <wp:extent cx="2514600" cy="4159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FF0000"/>
          <w:sz w:val="28"/>
        </w:rPr>
        <w:t>experience</w:t>
      </w:r>
      <w:r>
        <w:rPr>
          <w:b/>
          <w:bCs/>
          <w:color w:val="FF0000"/>
          <w:sz w:val="28"/>
        </w:rPr>
        <w:t>ENRON</w:t>
      </w:r>
      <w:r>
        <w:rPr>
          <w:b/>
          <w:bCs/>
          <w:sz w:val="28"/>
        </w:rPr>
        <w:t xml:space="preserve"> Summary First Quarter 2001</w:t>
      </w:r>
    </w:p>
    <w:p>
      <w:pPr>
        <w:pStyle w:val="Heading2"/>
        <w:ind w:hanging="0" w:start="0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Heading2"/>
        <w:ind w:hanging="0" w:start="0"/>
        <w:rPr/>
      </w:pPr>
      <w:r>
        <w:rPr/>
        <w:t>Total Activity</w:t>
      </w:r>
    </w:p>
    <w:p>
      <w:pPr>
        <w:pStyle w:val="Heading1"/>
        <w:ind w:hanging="0" w:start="0"/>
        <w:rPr/>
      </w:pPr>
      <w:r>
        <w:rPr/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40"/>
        <w:gridCol w:w="1459"/>
        <w:gridCol w:w="1222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 xml:space="preserve">Total 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Total  Requests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58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69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 w:val="false"/>
          <w:bCs w:val="false"/>
          <w:i/>
          <w:i/>
          <w:iCs/>
          <w:sz w:val="18"/>
        </w:rPr>
      </w:pPr>
      <w:r>
        <w:rPr>
          <w:b w:val="false"/>
          <w:bCs w:val="false"/>
          <w:i/>
          <w:iCs/>
          <w:sz w:val="18"/>
        </w:rPr>
        <w:t>Tactical = Revenue Generating</w:t>
      </w:r>
    </w:p>
    <w:p>
      <w:pPr>
        <w:pStyle w:val="Normal"/>
        <w:rPr>
          <w:i/>
          <w:i/>
          <w:iCs/>
          <w:sz w:val="18"/>
        </w:rPr>
      </w:pPr>
      <w:r>
        <w:rPr>
          <w:i/>
          <w:iCs/>
          <w:sz w:val="18"/>
        </w:rPr>
        <w:t>Strategic = Educational</w:t>
      </w:r>
    </w:p>
    <w:p>
      <w:pPr>
        <w:pStyle w:val="Normal"/>
        <w:rPr>
          <w:i/>
          <w:i/>
          <w:iCs/>
          <w:sz w:val="18"/>
        </w:rPr>
      </w:pPr>
      <w:r>
        <w:rPr>
          <w:i/>
          <w:iCs/>
          <w:sz w:val="18"/>
        </w:rPr>
      </w:r>
    </w:p>
    <w:p>
      <w:pPr>
        <w:pStyle w:val="Normal"/>
        <w:rPr/>
      </w:pPr>
      <w:r>
        <w:rPr/>
        <w:t>First Quarter Highlights:</w:t>
      </w:r>
    </w:p>
    <w:p>
      <w:pPr>
        <w:pStyle w:val="Normal"/>
        <w:ind w:start="720" w:end="0"/>
        <w:rPr/>
      </w:pPr>
      <w:r>
        <w:rPr/>
        <w:t>Activity: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23 percent increase in total requests from Q1 year 2000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We had 27 tactical requests from all of the business units, estimated at $5.77b (TCV)</w:t>
      </w:r>
    </w:p>
    <w:p>
      <w:pPr>
        <w:pStyle w:val="Normal"/>
        <w:ind w:start="1080" w:end="0"/>
        <w:rPr/>
      </w:pPr>
      <w:r>
        <w:rPr/>
        <w:tab/>
        <w:tab/>
        <w:t xml:space="preserve">EES = </w:t>
        <w:tab/>
        <w:t>$5.73b</w:t>
      </w:r>
    </w:p>
    <w:p>
      <w:pPr>
        <w:pStyle w:val="Normal"/>
        <w:ind w:start="1080" w:end="0"/>
        <w:rPr/>
      </w:pPr>
      <w:r>
        <w:rPr/>
        <w:tab/>
        <w:tab/>
        <w:t>EWS =</w:t>
        <w:tab/>
        <w:t>$250,000</w:t>
      </w:r>
    </w:p>
    <w:p>
      <w:pPr>
        <w:pStyle w:val="Normal"/>
        <w:ind w:start="1080" w:end="0"/>
        <w:rPr/>
      </w:pPr>
      <w:r>
        <w:rPr/>
        <w:tab/>
        <w:tab/>
        <w:t xml:space="preserve">EBS = </w:t>
        <w:tab/>
        <w:t>$35mm</w:t>
      </w:r>
    </w:p>
    <w:p>
      <w:pPr>
        <w:pStyle w:val="Normal"/>
        <w:ind w:start="1080" w:end="0"/>
        <w:rPr/>
      </w:pPr>
      <w:r>
        <w:rPr/>
        <w:tab/>
        <w:tab/>
        <w:t xml:space="preserve">Corp = $10mm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Two EES deals, supported by </w:t>
      </w:r>
      <w:r>
        <w:rPr>
          <w:i/>
          <w:iCs/>
        </w:rPr>
        <w:t>experience</w:t>
      </w:r>
      <w:r>
        <w:rPr/>
        <w:t>ENRON, closed in first quarter valued at $606mm (JCPenney &amp; Delta Airlines)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Averaged 1.5 requests per day for </w:t>
      </w:r>
      <w:r>
        <w:rPr>
          <w:i/>
          <w:iCs/>
        </w:rPr>
        <w:t>experience</w:t>
      </w:r>
      <w:r>
        <w:rPr/>
        <w:t>ENRON support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Overall customer satisfaction scores: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Internal</w:t>
        <w:tab/>
        <w:t>4.83 out of 5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External</w:t>
        <w:tab/>
        <w:t>4.80 out of 5</w:t>
      </w:r>
    </w:p>
    <w:p>
      <w:pPr>
        <w:pStyle w:val="Normal"/>
        <w:ind w:start="720" w:end="0"/>
        <w:rPr/>
      </w:pPr>
      <w:r>
        <w:rPr/>
        <w:t>Marketing Initiatives:</w:t>
      </w:r>
    </w:p>
    <w:p>
      <w:pPr>
        <w:pStyle w:val="Normal"/>
        <w:numPr>
          <w:ilvl w:val="1"/>
          <w:numId w:val="3"/>
        </w:numPr>
        <w:rPr/>
      </w:pPr>
      <w:r>
        <w:rPr/>
        <w:t>Completed Skilling endorsement, i.e. ETV</w:t>
      </w:r>
    </w:p>
    <w:p>
      <w:pPr>
        <w:pStyle w:val="Normal"/>
        <w:numPr>
          <w:ilvl w:val="1"/>
          <w:numId w:val="3"/>
        </w:numPr>
        <w:rPr/>
      </w:pPr>
      <w:r>
        <w:rPr/>
        <w:t>Completed awareness article for EWS internal newsletter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Integrated </w:t>
      </w:r>
      <w:r>
        <w:rPr>
          <w:i/>
          <w:iCs/>
        </w:rPr>
        <w:t>experience</w:t>
      </w:r>
      <w:r>
        <w:rPr/>
        <w:t xml:space="preserve">ENRON into new hire orientation program </w:t>
      </w:r>
    </w:p>
    <w:p>
      <w:pPr>
        <w:pStyle w:val="Normal"/>
        <w:numPr>
          <w:ilvl w:val="1"/>
          <w:numId w:val="3"/>
        </w:numPr>
        <w:rPr/>
      </w:pPr>
      <w:r>
        <w:rPr/>
        <w:t>Coordinating with facilities management to assess and improve process and service quality at the front desk</w:t>
      </w:r>
    </w:p>
    <w:p>
      <w:pPr>
        <w:pStyle w:val="Normal"/>
        <w:ind w:start="720" w:end="0"/>
        <w:rPr/>
      </w:pPr>
      <w:r>
        <w:rPr/>
        <w:t xml:space="preserve">Recognition of Subject Matter Experts (SME’s) </w:t>
      </w:r>
    </w:p>
    <w:p>
      <w:pPr>
        <w:pStyle w:val="Normal"/>
        <w:numPr>
          <w:ilvl w:val="0"/>
          <w:numId w:val="2"/>
        </w:numPr>
        <w:rPr/>
      </w:pPr>
      <w:r>
        <w:rPr/>
        <w:t>Dinner in their honor</w:t>
      </w:r>
    </w:p>
    <w:p>
      <w:pPr>
        <w:pStyle w:val="Normal"/>
        <w:numPr>
          <w:ilvl w:val="0"/>
          <w:numId w:val="2"/>
        </w:numPr>
        <w:rPr/>
      </w:pPr>
      <w:r>
        <w:rPr/>
        <w:t>Doubled the number of SME network, from 20 to 40</w:t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start="144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Heading8"/>
        <w:ind w:hanging="0" w:start="0"/>
        <w:rPr>
          <w:b w:val="false"/>
          <w:bCs w:val="false"/>
          <w:sz w:val="24"/>
          <w:u w:val="single"/>
        </w:rPr>
      </w:pPr>
      <w:r>
        <w:rPr>
          <w:b w:val="false"/>
          <w:bCs w:val="false"/>
          <w:sz w:val="24"/>
          <w:u w:val="single"/>
        </w:rPr>
      </w:r>
    </w:p>
    <w:p>
      <w:pPr>
        <w:pStyle w:val="Heading8"/>
        <w:ind w:hanging="0" w:start="0"/>
        <w:rPr>
          <w:sz w:val="24"/>
          <w:u w:val="single"/>
        </w:rPr>
      </w:pPr>
      <w:r>
        <w:rPr>
          <w:sz w:val="24"/>
          <w:u w:val="single"/>
        </w:rPr>
        <w:t>Business Unit Break-out</w:t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Corp. Activity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40"/>
        <w:gridCol w:w="1459"/>
        <w:gridCol w:w="1222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Corp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Total Corp Requests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Normal"/>
        <w:ind w:start="720" w:end="0"/>
        <w:rPr/>
      </w:pPr>
      <w:r>
        <w:rPr>
          <w:sz w:val="22"/>
        </w:rPr>
        <w:t xml:space="preserve"> </w:t>
      </w:r>
      <w:r>
        <w:rPr>
          <w:sz w:val="22"/>
        </w:rPr>
        <w:t xml:space="preserve">34 percent of the total </w:t>
      </w:r>
      <w:r>
        <w:rPr>
          <w:i/>
          <w:iCs/>
          <w:sz w:val="22"/>
        </w:rPr>
        <w:t>experience</w:t>
      </w:r>
      <w:r>
        <w:rPr>
          <w:sz w:val="22"/>
        </w:rPr>
        <w:t>ENRON requests (85) came from Corp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EWS Activity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40"/>
        <w:gridCol w:w="1459"/>
        <w:gridCol w:w="1222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EWS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Total EWS Requests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</w:r>
    </w:p>
    <w:p>
      <w:pPr>
        <w:pStyle w:val="Normal"/>
        <w:ind w:start="720" w:end="0"/>
        <w:rPr/>
      </w:pPr>
      <w:r>
        <w:rPr>
          <w:sz w:val="22"/>
        </w:rPr>
        <w:t xml:space="preserve">26 percent of the total </w:t>
      </w:r>
      <w:r>
        <w:rPr>
          <w:i/>
          <w:iCs/>
          <w:sz w:val="22"/>
        </w:rPr>
        <w:t>experience</w:t>
      </w:r>
      <w:r>
        <w:rPr>
          <w:sz w:val="22"/>
        </w:rPr>
        <w:t>ENRON requests (85) came from EWS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EES Activity</w:t>
      </w:r>
    </w:p>
    <w:p>
      <w:pPr>
        <w:pStyle w:val="Normal"/>
        <w:rPr>
          <w:b/>
          <w:bCs/>
        </w:rPr>
      </w:pPr>
      <w:r>
        <w:rPr>
          <w:b/>
          <w:bCs/>
        </w:rPr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59"/>
        <w:gridCol w:w="1440"/>
        <w:gridCol w:w="1260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Total EES </w:t>
            </w:r>
          </w:p>
          <w:p>
            <w:pPr>
              <w:pStyle w:val="Norm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Strategic Requests</w:t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Total EES Requests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Heading2"/>
        <w:ind w:hanging="0" w:start="0"/>
        <w:rPr>
          <w:b w:val="false"/>
          <w:bCs w:val="false"/>
          <w:i/>
          <w:i/>
          <w:iCs/>
          <w:sz w:val="20"/>
        </w:rPr>
      </w:pPr>
      <w:r>
        <w:rPr>
          <w:b w:val="false"/>
          <w:bCs w:val="false"/>
          <w:i/>
          <w:iCs/>
          <w:sz w:val="20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ind w:start="720" w:end="0"/>
        <w:rPr/>
      </w:pPr>
      <w:r>
        <w:rPr>
          <w:sz w:val="22"/>
        </w:rPr>
        <w:t xml:space="preserve">34 percent of the total </w:t>
      </w:r>
      <w:r>
        <w:rPr>
          <w:i/>
          <w:iCs/>
          <w:sz w:val="22"/>
        </w:rPr>
        <w:t>experience</w:t>
      </w:r>
      <w:r>
        <w:rPr>
          <w:sz w:val="22"/>
        </w:rPr>
        <w:t>ENRON requests (85) came from EES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EBS Activity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40"/>
        <w:gridCol w:w="1459"/>
        <w:gridCol w:w="1222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EBS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Total EBS Requests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Normal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start="720" w:end="0"/>
        <w:rPr/>
      </w:pPr>
      <w:r>
        <w:rPr>
          <w:sz w:val="22"/>
        </w:rPr>
        <w:t xml:space="preserve">5 percent of the total </w:t>
      </w:r>
      <w:r>
        <w:rPr>
          <w:i/>
          <w:iCs/>
          <w:sz w:val="22"/>
        </w:rPr>
        <w:t>experience</w:t>
      </w:r>
      <w:r>
        <w:rPr>
          <w:sz w:val="22"/>
        </w:rPr>
        <w:t>ENRON requests (85) came from EBS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ETS Activity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40"/>
        <w:gridCol w:w="1459"/>
        <w:gridCol w:w="1222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ETS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Total ETS Requests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</w:tr>
    </w:tbl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/>
      </w:pPr>
      <w:r>
        <w:rPr>
          <w:sz w:val="22"/>
        </w:rPr>
        <w:t xml:space="preserve">1 percent of the total </w:t>
      </w:r>
      <w:r>
        <w:rPr>
          <w:i/>
          <w:iCs/>
          <w:sz w:val="22"/>
        </w:rPr>
        <w:t>experience</w:t>
      </w:r>
      <w:r>
        <w:rPr>
          <w:sz w:val="22"/>
        </w:rPr>
        <w:t>ENRON requests (85) came from ETS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2520"/>
        <w:gridCol w:w="2700"/>
      </w:tblGrid>
      <w:tr>
        <w:trPr>
          <w:trHeight w:val="368" w:hRule="atLeast"/>
        </w:trPr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Business Tours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Q1 2001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color w:val="FF0000"/>
              </w:rPr>
            </w:pPr>
            <w:r>
              <w:rPr>
                <w:color w:val="FF0000"/>
              </w:rPr>
              <w:t>Q1 2000</w:t>
            </w:r>
          </w:p>
        </w:tc>
      </w:tr>
      <w:tr>
        <w:trPr>
          <w:trHeight w:val="350" w:hRule="atLeast"/>
        </w:trPr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Gas Trading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350" w:hRule="atLeast"/>
        </w:trPr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Power Trading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Gas Control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530" w:hRule="atLeast"/>
        </w:trPr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>EBS (44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530" w:hRule="atLeast"/>
        </w:trPr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EES Performance Measurement Center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547" w:gutter="0" w:header="720" w:top="907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lang w:val="en-CA" w:eastAsia="en-CA"/>
      </w:rPr>
    </w:pPr>
    <w:r>
      <w:rPr>
        <w:sz w:val="20"/>
        <w:lang w:val="en-CA" w:eastAsia="en-CA"/>
      </w:rPr>
      <mc:AlternateContent>
        <mc:Choice Requires="wpg">
          <w:drawing>
            <wp:anchor behindDoc="1" distT="0" distB="0" distL="114935" distR="114935" simplePos="0" locked="0" layoutInCell="1" allowOverlap="1" relativeHeight="9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3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Footer"/>
      <w:jc w:val="center"/>
      <w:rPr/>
    </w:pPr>
    <w:r>
      <w:rPr/>
      <w:t>http://experience.enron.com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8"/>
      </w:rPr>
    </w:pPr>
    <w:r>
      <w:rPr>
        <w:sz w:val="18"/>
      </w:rPr>
      <w:t>ExperienceENRON Summary</w:t>
    </w:r>
  </w:p>
  <w:p>
    <w:pPr>
      <w:pStyle w:val="Header"/>
      <w:rPr/>
    </w:pPr>
    <w:r>
      <w:rPr>
        <w:sz w:val="18"/>
      </w:rPr>
      <w:t>Page #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3</w:t>
    </w:r>
    <w:r>
      <w:rPr>
        <w:rStyle w:val="PageNumber"/>
        <w:sz w:val="1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 Unicode MS" w:cs="Arial"/>
      <w:b/>
      <w:bCs/>
      <w:sz w:val="16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i/>
      <w:iCs/>
      <w:sz w:val="16"/>
      <w:szCs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  <w:color w:val="0000FF"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2001-05-01T16:52:00Z</dcterms:created>
  <dc:creator>crobert</dc:creator>
  <dc:description/>
  <dc:language>en-CA</dc:language>
  <cp:lastModifiedBy>crobert</cp:lastModifiedBy>
  <cp:lastPrinted>2001-05-01T12:01:00Z</cp:lastPrinted>
  <dcterms:modified xsi:type="dcterms:W3CDTF">2001-05-10T20:25:00Z</dcterms:modified>
  <cp:revision>16</cp:revision>
  <dc:subject/>
  <dc:title>ExperienceENRON Statistics</dc:title>
</cp:coreProperties>
</file>