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rPr>
          <w:lang w:val="en-CA"/>
        </w:rPr>
      </w:pPr>
      <w:r>
        <w:rPr>
          <w:lang w:val="en-CA"/>
        </w:rPr>
      </w:r>
      <w:r>
        <mc:AlternateContent>
          <mc:Choice Requires="wps">
            <w:drawing>
              <wp:anchor behindDoc="0" distT="0" distB="0" distL="114935" distR="114935" simplePos="0" locked="0" layoutInCell="0" allowOverlap="1" relativeHeight="14">
                <wp:simplePos x="0" y="0"/>
                <wp:positionH relativeFrom="page">
                  <wp:posOffset>876300</wp:posOffset>
                </wp:positionH>
                <wp:positionV relativeFrom="page">
                  <wp:posOffset>1828800</wp:posOffset>
                </wp:positionV>
                <wp:extent cx="2331720" cy="365760"/>
                <wp:effectExtent l="0" t="0" r="0" b="0"/>
                <wp:wrapNone/>
                <wp:docPr id="1" name="Frame1"/>
                <a:graphic xmlns:a="http://schemas.openxmlformats.org/drawingml/2006/main">
                  <a:graphicData uri="http://schemas.microsoft.com/office/word/2010/wordprocessingShape">
                    <wps:wsp>
                      <wps:cNvSpPr txBox="1"/>
                      <wps:spPr>
                        <a:xfrm>
                          <a:off x="0" y="0"/>
                          <a:ext cx="2331720" cy="365760"/>
                        </a:xfrm>
                        <a:prstGeom prst="rect"/>
                        <a:solidFill>
                          <a:srgbClr val="FFFFFF"/>
                        </a:solidFill>
                      </wps:spPr>
                      <wps:txbx>
                        <w:txbxContent>
                          <w:p>
                            <w:pPr>
                              <w:pStyle w:val="Normal"/>
                              <w:rPr>
                                <w:rFonts w:ascii="Times" w:hAnsi="Times" w:cs="Times"/>
                                <w:b/>
                                <w:sz w:val="56"/>
                              </w:rPr>
                            </w:pPr>
                            <w:r>
                              <w:rPr>
                                <w:rFonts w:cs="Times" w:ascii="Times" w:hAnsi="Times"/>
                                <w:b/>
                                <w:sz w:val="56"/>
                              </w:rPr>
                              <w:t>Memorandum</w:t>
                            </w:r>
                          </w:p>
                        </w:txbxContent>
                      </wps:txbx>
                      <wps:bodyPr anchor="t" lIns="635" tIns="635" rIns="635" bIns="635">
                        <a:noAutofit/>
                      </wps:bodyPr>
                    </wps:wsp>
                  </a:graphicData>
                </a:graphic>
              </wp:anchor>
            </w:drawing>
          </mc:Choice>
          <mc:Fallback>
            <w:pict>
              <v:rect fillcolor="#FFFFFF" style="position:absolute;rotation:-0;width:183.6pt;height:28.8pt;mso-wrap-distance-left:9.05pt;mso-wrap-distance-right:9.05pt;mso-wrap-distance-top:0pt;mso-wrap-distance-bottom:0pt;margin-top:144pt;mso-position-vertical-relative:page;margin-left:69pt;mso-position-horizontal-relative:page">
                <v:textbox inset="0.000694444444444445in,0.000694444444444445in,0.000694444444444445in,0.000694444444444445in">
                  <w:txbxContent>
                    <w:p>
                      <w:pPr>
                        <w:pStyle w:val="Normal"/>
                        <w:rPr>
                          <w:rFonts w:ascii="Times" w:hAnsi="Times" w:cs="Times"/>
                          <w:b/>
                          <w:sz w:val="56"/>
                        </w:rPr>
                      </w:pPr>
                      <w:r>
                        <w:rPr>
                          <w:rFonts w:cs="Times" w:ascii="Times" w:hAnsi="Times"/>
                          <w:b/>
                          <w:sz w:val="56"/>
                        </w:rPr>
                        <w:t>Memorandum</w:t>
                      </w:r>
                    </w:p>
                  </w:txbxContent>
                </v:textbox>
                <w10:wrap type="none"/>
              </v:rect>
            </w:pict>
          </mc:Fallback>
        </mc:AlternateContent>
      </w:r>
    </w:p>
    <w:tbl>
      <w:tblPr>
        <w:tblW w:w="9468" w:type="dxa"/>
        <w:jc w:val="start"/>
        <w:tblInd w:w="0" w:type="dxa"/>
        <w:tblLayout w:type="fixed"/>
        <w:tblCellMar>
          <w:top w:w="0" w:type="dxa"/>
          <w:start w:w="108" w:type="dxa"/>
          <w:bottom w:w="0" w:type="dxa"/>
          <w:end w:w="108" w:type="dxa"/>
        </w:tblCellMar>
      </w:tblPr>
      <w:tblGrid>
        <w:gridCol w:w="1908"/>
        <w:gridCol w:w="3840"/>
        <w:gridCol w:w="960"/>
        <w:gridCol w:w="2760"/>
      </w:tblGrid>
      <w:tr>
        <w:trPr/>
        <w:tc>
          <w:tcPr>
            <w:tcW w:w="1908" w:type="dxa"/>
            <w:tcBorders/>
            <w:vAlign w:val="center"/>
          </w:tcPr>
          <w:p>
            <w:pPr>
              <w:pStyle w:val="Normal"/>
              <w:spacing w:lineRule="exact" w:line="240" w:before="160" w:after="0"/>
              <w:rPr>
                <w:rFonts w:ascii="Arial" w:hAnsi="Arial" w:cs="Arial"/>
                <w:b/>
                <w:sz w:val="22"/>
              </w:rPr>
            </w:pPr>
            <w:r>
              <w:rPr>
                <w:rFonts w:cs="Arial" w:ascii="Arial" w:hAnsi="Arial"/>
                <w:b/>
                <w:sz w:val="22"/>
              </w:rPr>
              <w:t>To:</w:t>
            </w:r>
          </w:p>
        </w:tc>
        <w:tc>
          <w:tcPr>
            <w:tcW w:w="3840" w:type="dxa"/>
            <w:tcBorders/>
            <w:vAlign w:val="center"/>
          </w:tcPr>
          <w:p>
            <w:pPr>
              <w:pStyle w:val="Normal"/>
              <w:spacing w:before="160" w:after="0"/>
              <w:rPr>
                <w:rFonts w:ascii="Arial" w:hAnsi="Arial" w:cs="Arial"/>
                <w:sz w:val="22"/>
              </w:rPr>
            </w:pPr>
            <w:r>
              <w:rPr>
                <w:rFonts w:cs="Arial" w:ascii="Arial" w:hAnsi="Arial"/>
                <w:sz w:val="22"/>
              </w:rPr>
              <w:t>Aleck Dadson</w:t>
            </w:r>
          </w:p>
        </w:tc>
        <w:tc>
          <w:tcPr>
            <w:tcW w:w="960" w:type="dxa"/>
            <w:tcBorders/>
            <w:vAlign w:val="center"/>
          </w:tcPr>
          <w:p>
            <w:pPr>
              <w:pStyle w:val="Normal"/>
              <w:spacing w:before="160" w:after="0"/>
              <w:rPr>
                <w:rFonts w:ascii="Arial" w:hAnsi="Arial" w:cs="Arial"/>
                <w:b/>
                <w:sz w:val="22"/>
              </w:rPr>
            </w:pPr>
            <w:r>
              <w:rPr>
                <w:rFonts w:cs="Arial" w:ascii="Arial" w:hAnsi="Arial"/>
                <w:b/>
                <w:sz w:val="22"/>
              </w:rPr>
              <w:t>Date:</w:t>
            </w:r>
          </w:p>
        </w:tc>
        <w:tc>
          <w:tcPr>
            <w:tcW w:w="2760" w:type="dxa"/>
            <w:tcBorders/>
            <w:vAlign w:val="center"/>
          </w:tcPr>
          <w:p>
            <w:pPr>
              <w:pStyle w:val="Normal"/>
              <w:spacing w:before="160" w:after="0"/>
              <w:rPr>
                <w:rFonts w:ascii="Arial" w:hAnsi="Arial" w:cs="Arial"/>
                <w:sz w:val="22"/>
              </w:rPr>
            </w:pPr>
            <w:r>
              <w:rPr>
                <w:rFonts w:cs="Arial" w:ascii="Arial" w:hAnsi="Arial"/>
                <w:sz w:val="22"/>
              </w:rPr>
              <w:t>September 4, 2001</w:t>
            </w:r>
          </w:p>
        </w:tc>
      </w:tr>
      <w:tr>
        <w:trPr/>
        <w:tc>
          <w:tcPr>
            <w:tcW w:w="1908" w:type="dxa"/>
            <w:tcBorders/>
            <w:vAlign w:val="center"/>
          </w:tcPr>
          <w:p>
            <w:pPr>
              <w:pStyle w:val="Normal"/>
              <w:spacing w:lineRule="exact" w:line="240" w:before="160" w:after="0"/>
              <w:rPr>
                <w:rFonts w:ascii="Arial" w:hAnsi="Arial" w:cs="Arial"/>
                <w:b/>
                <w:sz w:val="22"/>
              </w:rPr>
            </w:pPr>
            <w:r>
              <w:rPr>
                <w:rFonts w:cs="Arial" w:ascii="Arial" w:hAnsi="Arial"/>
                <w:b/>
                <w:sz w:val="22"/>
              </w:rPr>
              <w:t>Company:</w:t>
            </w:r>
          </w:p>
        </w:tc>
        <w:tc>
          <w:tcPr>
            <w:tcW w:w="3840" w:type="dxa"/>
            <w:tcBorders/>
            <w:vAlign w:val="center"/>
          </w:tcPr>
          <w:p>
            <w:pPr>
              <w:pStyle w:val="Normal"/>
              <w:spacing w:before="160" w:after="0"/>
              <w:rPr>
                <w:rFonts w:ascii="Arial" w:hAnsi="Arial" w:cs="Arial"/>
                <w:sz w:val="22"/>
              </w:rPr>
            </w:pPr>
            <w:r>
              <w:rPr>
                <w:rFonts w:cs="Arial" w:ascii="Arial" w:hAnsi="Arial"/>
                <w:sz w:val="22"/>
              </w:rPr>
              <w:t>Enron Canada</w:t>
            </w:r>
          </w:p>
        </w:tc>
        <w:tc>
          <w:tcPr>
            <w:tcW w:w="960" w:type="dxa"/>
            <w:tcBorders/>
            <w:vAlign w:val="center"/>
          </w:tcPr>
          <w:p>
            <w:pPr>
              <w:pStyle w:val="Normal"/>
              <w:spacing w:before="160" w:after="0"/>
              <w:rPr>
                <w:rFonts w:ascii="Arial" w:hAnsi="Arial" w:cs="Arial"/>
                <w:b/>
                <w:sz w:val="22"/>
              </w:rPr>
            </w:pPr>
            <w:r>
              <w:rPr>
                <w:rFonts w:cs="Arial" w:ascii="Arial" w:hAnsi="Arial"/>
                <w:b/>
                <w:sz w:val="22"/>
              </w:rPr>
              <w:t>Code:</w:t>
            </w:r>
          </w:p>
        </w:tc>
        <w:tc>
          <w:tcPr>
            <w:tcW w:w="2760" w:type="dxa"/>
            <w:tcBorders/>
            <w:vAlign w:val="center"/>
          </w:tcPr>
          <w:p>
            <w:pPr>
              <w:pStyle w:val="Normal"/>
              <w:spacing w:before="160" w:after="0"/>
              <w:rPr>
                <w:rFonts w:ascii="Arial" w:hAnsi="Arial" w:cs="Arial"/>
                <w:sz w:val="22"/>
              </w:rPr>
            </w:pPr>
            <w:r>
              <w:rPr>
                <w:rFonts w:cs="Arial" w:ascii="Arial" w:hAnsi="Arial"/>
                <w:sz w:val="22"/>
              </w:rPr>
              <w:t>700026</w:t>
            </w:r>
          </w:p>
        </w:tc>
      </w:tr>
      <w:tr>
        <w:trPr/>
        <w:tc>
          <w:tcPr>
            <w:tcW w:w="1908" w:type="dxa"/>
            <w:tcBorders/>
            <w:vAlign w:val="center"/>
          </w:tcPr>
          <w:p>
            <w:pPr>
              <w:pStyle w:val="Normal"/>
              <w:spacing w:lineRule="exact" w:line="240" w:before="160" w:after="0"/>
              <w:rPr>
                <w:rFonts w:ascii="Arial" w:hAnsi="Arial" w:cs="Arial"/>
                <w:b/>
                <w:sz w:val="22"/>
              </w:rPr>
            </w:pPr>
            <w:r>
              <w:rPr>
                <w:rFonts w:cs="Arial" w:ascii="Arial" w:hAnsi="Arial"/>
                <w:b/>
                <w:sz w:val="22"/>
              </w:rPr>
              <w:t>From:</w:t>
            </w:r>
          </w:p>
        </w:tc>
        <w:tc>
          <w:tcPr>
            <w:tcW w:w="3840" w:type="dxa"/>
            <w:tcBorders/>
            <w:vAlign w:val="center"/>
          </w:tcPr>
          <w:p>
            <w:pPr>
              <w:pStyle w:val="Normal"/>
              <w:spacing w:before="160" w:after="0"/>
              <w:rPr>
                <w:rFonts w:ascii="Arial" w:hAnsi="Arial" w:cs="Arial"/>
                <w:sz w:val="22"/>
              </w:rPr>
            </w:pPr>
            <w:r>
              <w:rPr>
                <w:rFonts w:cs="Arial" w:ascii="Arial" w:hAnsi="Arial"/>
                <w:sz w:val="22"/>
              </w:rPr>
              <w:t>Tom McLaren, Peter Varley and Michael O’Connor</w:t>
            </w:r>
          </w:p>
        </w:tc>
        <w:tc>
          <w:tcPr>
            <w:tcW w:w="960" w:type="dxa"/>
            <w:tcBorders/>
            <w:vAlign w:val="center"/>
          </w:tcPr>
          <w:p>
            <w:pPr>
              <w:pStyle w:val="Normal"/>
              <w:snapToGrid w:val="false"/>
              <w:spacing w:before="160" w:after="0"/>
              <w:rPr>
                <w:rFonts w:ascii="Arial" w:hAnsi="Arial" w:cs="Arial"/>
                <w:b/>
                <w:sz w:val="22"/>
              </w:rPr>
            </w:pPr>
            <w:r>
              <w:rPr>
                <w:rFonts w:cs="Arial" w:ascii="Arial" w:hAnsi="Arial"/>
                <w:b/>
                <w:sz w:val="22"/>
              </w:rPr>
            </w:r>
          </w:p>
        </w:tc>
        <w:tc>
          <w:tcPr>
            <w:tcW w:w="2760" w:type="dxa"/>
            <w:tcBorders/>
            <w:vAlign w:val="center"/>
          </w:tcPr>
          <w:p>
            <w:pPr>
              <w:pStyle w:val="Normal"/>
              <w:snapToGrid w:val="false"/>
              <w:spacing w:before="160" w:after="0"/>
              <w:rPr>
                <w:rFonts w:ascii="Arial" w:hAnsi="Arial" w:cs="Arial"/>
                <w:b/>
                <w:sz w:val="22"/>
              </w:rPr>
            </w:pPr>
            <w:r>
              <w:rPr>
                <w:rFonts w:cs="Arial" w:ascii="Arial" w:hAnsi="Arial"/>
                <w:b/>
                <w:sz w:val="22"/>
              </w:rPr>
            </w:r>
          </w:p>
        </w:tc>
      </w:tr>
      <w:tr>
        <w:trPr/>
        <w:tc>
          <w:tcPr>
            <w:tcW w:w="1908" w:type="dxa"/>
            <w:tcBorders/>
            <w:vAlign w:val="center"/>
          </w:tcPr>
          <w:p>
            <w:pPr>
              <w:pStyle w:val="Normal"/>
              <w:spacing w:lineRule="exact" w:line="240" w:before="160" w:after="0"/>
              <w:rPr>
                <w:rFonts w:ascii="Arial" w:hAnsi="Arial" w:cs="Arial"/>
                <w:b/>
                <w:sz w:val="22"/>
              </w:rPr>
            </w:pPr>
            <w:r>
              <w:rPr>
                <w:rFonts w:cs="Arial" w:ascii="Arial" w:hAnsi="Arial"/>
                <w:b/>
                <w:sz w:val="22"/>
              </w:rPr>
              <w:t>Subject:</w:t>
            </w:r>
          </w:p>
        </w:tc>
        <w:tc>
          <w:tcPr>
            <w:tcW w:w="7560" w:type="dxa"/>
            <w:gridSpan w:val="3"/>
            <w:tcBorders/>
            <w:vAlign w:val="center"/>
          </w:tcPr>
          <w:p>
            <w:pPr>
              <w:pStyle w:val="Normal"/>
              <w:spacing w:before="160" w:after="0"/>
              <w:rPr>
                <w:rFonts w:ascii="Arial" w:hAnsi="Arial" w:cs="Arial"/>
                <w:sz w:val="22"/>
              </w:rPr>
            </w:pPr>
            <w:r>
              <w:rPr>
                <w:rFonts w:cs="Arial" w:ascii="Arial" w:hAnsi="Arial"/>
                <w:sz w:val="22"/>
              </w:rPr>
              <w:t>Ontario Corporate Communications Campaign</w:t>
            </w:r>
          </w:p>
        </w:tc>
      </w:tr>
    </w:tbl>
    <w:p>
      <w:pPr>
        <w:pStyle w:val="Normal"/>
        <w:pBdr>
          <w:bottom w:val="single" w:sz="4" w:space="1" w:color="000000"/>
        </w:pBdr>
        <w:spacing w:lineRule="exact" w:line="300"/>
        <w:rPr>
          <w:b/>
          <w:sz w:val="24"/>
        </w:rPr>
      </w:pPr>
      <w:r>
        <w:rPr>
          <w:b/>
          <w:sz w:val="24"/>
        </w:rPr>
      </w:r>
    </w:p>
    <w:p>
      <w:pPr>
        <w:pStyle w:val="Normal"/>
        <w:rPr>
          <w:rFonts w:ascii="Arial" w:hAnsi="Arial" w:cs="Arial"/>
          <w:b/>
          <w:sz w:val="24"/>
        </w:rPr>
      </w:pPr>
      <w:r>
        <w:rPr>
          <w:rFonts w:cs="Arial" w:ascii="Arial" w:hAnsi="Arial"/>
          <w:b/>
          <w:sz w:val="24"/>
        </w:rPr>
      </w:r>
    </w:p>
    <w:p>
      <w:pPr>
        <w:pStyle w:val="Heading3"/>
        <w:ind w:hanging="0" w:start="0"/>
        <w:rPr>
          <w:sz w:val="24"/>
          <w:u w:val="single"/>
        </w:rPr>
      </w:pPr>
      <w:r>
        <w:rPr>
          <w:sz w:val="24"/>
          <w:u w:val="single"/>
        </w:rPr>
        <w:t>Context</w:t>
      </w:r>
    </w:p>
    <w:p>
      <w:pPr>
        <w:pStyle w:val="Normal"/>
        <w:rPr>
          <w:rFonts w:ascii="Arial" w:hAnsi="Arial" w:cs="Arial"/>
          <w:sz w:val="24"/>
          <w:u w:val="single"/>
        </w:rPr>
      </w:pPr>
      <w:r>
        <w:rPr>
          <w:rFonts w:cs="Arial" w:ascii="Arial" w:hAnsi="Arial"/>
          <w:sz w:val="24"/>
          <w:u w:val="single"/>
        </w:rPr>
      </w:r>
    </w:p>
    <w:p>
      <w:pPr>
        <w:pStyle w:val="BodyText"/>
        <w:rPr>
          <w:sz w:val="22"/>
        </w:rPr>
      </w:pPr>
      <w:r>
        <w:rPr>
          <w:sz w:val="22"/>
        </w:rPr>
        <w:t>In May 2001, Ontario Premier Mike Harris and Energy, Science and Technology Minister Jim Wilson announced the government’s intention to open the province’s wholesale and retail electricity markets to competition no later than May 2002. The government has stated that it is pushing for the earliest possible date for market opening contingent upon the successful completion of systems testing and the achievement of the following four “principles”:</w:t>
      </w:r>
    </w:p>
    <w:p>
      <w:pPr>
        <w:pStyle w:val="BodyText"/>
        <w:rPr>
          <w:sz w:val="22"/>
        </w:rPr>
      </w:pPr>
      <w:r>
        <w:rPr>
          <w:sz w:val="22"/>
        </w:rPr>
      </w:r>
    </w:p>
    <w:p>
      <w:pPr>
        <w:pStyle w:val="BodyText"/>
        <w:numPr>
          <w:ilvl w:val="0"/>
          <w:numId w:val="12"/>
        </w:numPr>
        <w:rPr>
          <w:sz w:val="22"/>
        </w:rPr>
      </w:pPr>
      <w:r>
        <w:rPr>
          <w:sz w:val="22"/>
        </w:rPr>
        <w:t>protecting consumers and offering choice</w:t>
      </w:r>
    </w:p>
    <w:p>
      <w:pPr>
        <w:pStyle w:val="BodyText"/>
        <w:numPr>
          <w:ilvl w:val="0"/>
          <w:numId w:val="12"/>
        </w:numPr>
        <w:rPr>
          <w:sz w:val="22"/>
        </w:rPr>
      </w:pPr>
      <w:r>
        <w:rPr>
          <w:sz w:val="22"/>
        </w:rPr>
        <w:t>creating a strong business climate with a reliable supply of electricity</w:t>
      </w:r>
    </w:p>
    <w:p>
      <w:pPr>
        <w:pStyle w:val="BodyText"/>
        <w:numPr>
          <w:ilvl w:val="0"/>
          <w:numId w:val="12"/>
        </w:numPr>
        <w:rPr>
          <w:sz w:val="22"/>
        </w:rPr>
      </w:pPr>
      <w:r>
        <w:rPr>
          <w:sz w:val="22"/>
        </w:rPr>
        <w:t>protecting our environment</w:t>
      </w:r>
    </w:p>
    <w:p>
      <w:pPr>
        <w:pStyle w:val="BodyText"/>
        <w:numPr>
          <w:ilvl w:val="0"/>
          <w:numId w:val="12"/>
        </w:numPr>
        <w:rPr>
          <w:sz w:val="22"/>
        </w:rPr>
      </w:pPr>
      <w:r>
        <w:rPr>
          <w:sz w:val="22"/>
        </w:rPr>
        <w:t xml:space="preserve">encouraging alternative sources of power. </w:t>
      </w:r>
    </w:p>
    <w:p>
      <w:pPr>
        <w:pStyle w:val="Normal"/>
        <w:rPr>
          <w:rFonts w:ascii="Arial" w:hAnsi="Arial" w:cs="Arial"/>
          <w:sz w:val="22"/>
        </w:rPr>
      </w:pPr>
      <w:r>
        <w:rPr>
          <w:rFonts w:cs="Arial" w:ascii="Arial" w:hAnsi="Arial"/>
          <w:sz w:val="22"/>
        </w:rPr>
      </w:r>
    </w:p>
    <w:p>
      <w:pPr>
        <w:pStyle w:val="BodyText"/>
        <w:rPr>
          <w:sz w:val="22"/>
        </w:rPr>
      </w:pPr>
      <w:r>
        <w:rPr>
          <w:sz w:val="22"/>
        </w:rPr>
        <w:t>Notwithstanding previous false starts on this front, there is no reason to doubt the government’s renewed commitment to market opening as potential obstacles appear to have receded:</w:t>
      </w:r>
    </w:p>
    <w:p>
      <w:pPr>
        <w:pStyle w:val="Normal"/>
        <w:rPr>
          <w:rFonts w:ascii="Arial" w:hAnsi="Arial" w:cs="Arial"/>
          <w:sz w:val="22"/>
        </w:rPr>
      </w:pPr>
      <w:r>
        <w:rPr>
          <w:rFonts w:cs="Arial" w:ascii="Arial" w:hAnsi="Arial"/>
          <w:sz w:val="22"/>
        </w:rPr>
      </w:r>
    </w:p>
    <w:p>
      <w:pPr>
        <w:pStyle w:val="Normal"/>
        <w:numPr>
          <w:ilvl w:val="0"/>
          <w:numId w:val="7"/>
        </w:numPr>
        <w:tabs>
          <w:tab w:val="clear" w:pos="720"/>
          <w:tab w:val="left" w:pos="0" w:leader="none"/>
        </w:tabs>
        <w:rPr>
          <w:rFonts w:ascii="Arial" w:hAnsi="Arial" w:cs="Arial"/>
          <w:sz w:val="22"/>
        </w:rPr>
      </w:pPr>
      <w:r>
        <w:rPr>
          <w:rFonts w:cs="Arial" w:ascii="Arial" w:hAnsi="Arial"/>
          <w:sz w:val="22"/>
        </w:rPr>
        <w:t>Both the Independent Market Operator and the Ontario Energy Board have said that the market would be ready to open within the government’s May 2002 timeframe, despite recent announcements that the LDC testing phase had been pushed back four months.</w:t>
      </w:r>
    </w:p>
    <w:p>
      <w:pPr>
        <w:pStyle w:val="Normal"/>
        <w:numPr>
          <w:ilvl w:val="0"/>
          <w:numId w:val="7"/>
        </w:numPr>
        <w:tabs>
          <w:tab w:val="clear" w:pos="720"/>
          <w:tab w:val="left" w:pos="0" w:leader="none"/>
        </w:tabs>
        <w:rPr>
          <w:rFonts w:ascii="Arial" w:hAnsi="Arial" w:cs="Arial"/>
          <w:sz w:val="22"/>
        </w:rPr>
      </w:pPr>
      <w:r>
        <w:rPr>
          <w:rFonts w:cs="Arial" w:ascii="Arial" w:hAnsi="Arial"/>
          <w:sz w:val="22"/>
        </w:rPr>
        <w:t>Summer 2001 data suggest that the system can accommodate historic peak loads, providing a sufficient margin of safety for moving to an open market.</w:t>
      </w:r>
    </w:p>
    <w:p>
      <w:pPr>
        <w:pStyle w:val="Normal"/>
        <w:numPr>
          <w:ilvl w:val="0"/>
          <w:numId w:val="14"/>
        </w:numPr>
        <w:tabs>
          <w:tab w:val="clear" w:pos="720"/>
          <w:tab w:val="left" w:pos="0" w:leader="none"/>
        </w:tabs>
        <w:rPr>
          <w:rFonts w:ascii="Arial" w:hAnsi="Arial" w:cs="Arial"/>
          <w:sz w:val="22"/>
        </w:rPr>
      </w:pPr>
      <w:r>
        <w:rPr>
          <w:rFonts w:cs="Arial" w:ascii="Arial" w:hAnsi="Arial"/>
          <w:sz w:val="22"/>
        </w:rPr>
        <w:t>The worst of the California debacle did not come to pass over the summer months as many had feared, which would have given rise to fears of similar disruptions in Ontario.</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3"/>
        <w:ind w:hanging="0" w:start="0"/>
        <w:rPr>
          <w:sz w:val="24"/>
          <w:u w:val="single"/>
        </w:rPr>
      </w:pPr>
      <w:r>
        <w:rPr>
          <w:sz w:val="24"/>
          <w:u w:val="single"/>
        </w:rPr>
        <w:t>Issue</w:t>
      </w:r>
    </w:p>
    <w:p>
      <w:pPr>
        <w:pStyle w:val="Normal"/>
        <w:rPr>
          <w:rFonts w:ascii="Arial" w:hAnsi="Arial" w:cs="Arial"/>
          <w:sz w:val="22"/>
          <w:u w:val="single"/>
        </w:rPr>
      </w:pPr>
      <w:r>
        <w:rPr>
          <w:rFonts w:cs="Arial" w:ascii="Arial" w:hAnsi="Arial"/>
          <w:sz w:val="22"/>
          <w:u w:val="single"/>
        </w:rPr>
      </w:r>
    </w:p>
    <w:p>
      <w:pPr>
        <w:pStyle w:val="BodyText2"/>
        <w:rPr/>
      </w:pPr>
      <w:r>
        <w:rPr/>
        <w:t xml:space="preserve">Despite reassuring developments, much uncertainty remains among the general public and key stakeholders as to: </w:t>
      </w:r>
    </w:p>
    <w:p>
      <w:pPr>
        <w:pStyle w:val="Normal"/>
        <w:rPr>
          <w:rFonts w:ascii="Arial" w:hAnsi="Arial" w:cs="Arial"/>
          <w:sz w:val="22"/>
        </w:rPr>
      </w:pPr>
      <w:r>
        <w:rPr>
          <w:rFonts w:cs="Arial" w:ascii="Arial" w:hAnsi="Arial"/>
          <w:sz w:val="22"/>
        </w:rPr>
      </w:r>
    </w:p>
    <w:p>
      <w:pPr>
        <w:pStyle w:val="Normal"/>
        <w:numPr>
          <w:ilvl w:val="0"/>
          <w:numId w:val="29"/>
        </w:numPr>
        <w:tabs>
          <w:tab w:val="clear" w:pos="720"/>
          <w:tab w:val="left" w:pos="0" w:leader="none"/>
        </w:tabs>
        <w:rPr>
          <w:rFonts w:ascii="Arial" w:hAnsi="Arial" w:cs="Arial"/>
          <w:sz w:val="22"/>
        </w:rPr>
      </w:pPr>
      <w:r>
        <w:rPr>
          <w:rFonts w:cs="Arial" w:ascii="Arial" w:hAnsi="Arial"/>
          <w:sz w:val="22"/>
        </w:rPr>
        <w:t>the nature and benefits of an open market in view of the experience of other jurisdictions</w:t>
      </w:r>
    </w:p>
    <w:p>
      <w:pPr>
        <w:pStyle w:val="Normal"/>
        <w:numPr>
          <w:ilvl w:val="0"/>
          <w:numId w:val="29"/>
        </w:numPr>
        <w:tabs>
          <w:tab w:val="clear" w:pos="720"/>
          <w:tab w:val="left" w:pos="0" w:leader="none"/>
        </w:tabs>
        <w:rPr>
          <w:rFonts w:ascii="Arial" w:hAnsi="Arial" w:cs="Arial"/>
          <w:sz w:val="22"/>
        </w:rPr>
      </w:pPr>
      <w:r>
        <w:rPr>
          <w:rFonts w:cs="Arial" w:ascii="Arial" w:hAnsi="Arial"/>
          <w:sz w:val="22"/>
        </w:rPr>
        <w:t>persistent mistrust of “deregulation” and its associated baggage (S&amp;L crisis, airline disruptions, trucking safety incidents, residential natural gas service failures, California energy crisis, Walkerton)</w:t>
      </w:r>
    </w:p>
    <w:p>
      <w:pPr>
        <w:pStyle w:val="Normal"/>
        <w:numPr>
          <w:ilvl w:val="0"/>
          <w:numId w:val="29"/>
        </w:numPr>
        <w:tabs>
          <w:tab w:val="clear" w:pos="720"/>
          <w:tab w:val="left" w:pos="0" w:leader="none"/>
        </w:tabs>
        <w:rPr>
          <w:rFonts w:ascii="Arial" w:hAnsi="Arial" w:cs="Arial"/>
          <w:sz w:val="22"/>
        </w:rPr>
      </w:pPr>
      <w:r>
        <w:rPr>
          <w:rFonts w:cs="Arial" w:ascii="Arial" w:hAnsi="Arial"/>
          <w:sz w:val="22"/>
        </w:rPr>
        <w:t>a general erosion of confidence in the Harris government’s managerial competence</w:t>
      </w:r>
    </w:p>
    <w:p>
      <w:pPr>
        <w:pStyle w:val="Normal"/>
        <w:numPr>
          <w:ilvl w:val="0"/>
          <w:numId w:val="29"/>
        </w:numPr>
        <w:tabs>
          <w:tab w:val="clear" w:pos="720"/>
          <w:tab w:val="left" w:pos="0" w:leader="none"/>
        </w:tabs>
        <w:rPr>
          <w:rFonts w:ascii="Arial" w:hAnsi="Arial" w:cs="Arial"/>
          <w:sz w:val="22"/>
        </w:rPr>
      </w:pPr>
      <w:r>
        <w:rPr>
          <w:rFonts w:cs="Arial" w:ascii="Arial" w:hAnsi="Arial"/>
          <w:sz w:val="22"/>
        </w:rPr>
        <w:t>the ability of the LDC’s to be ready to support market opening</w:t>
      </w:r>
    </w:p>
    <w:p>
      <w:pPr>
        <w:pStyle w:val="Normal"/>
        <w:numPr>
          <w:ilvl w:val="0"/>
          <w:numId w:val="29"/>
        </w:numPr>
        <w:tabs>
          <w:tab w:val="clear" w:pos="720"/>
          <w:tab w:val="left" w:pos="0" w:leader="none"/>
        </w:tabs>
        <w:rPr>
          <w:rFonts w:ascii="Arial" w:hAnsi="Arial" w:cs="Arial"/>
          <w:sz w:val="22"/>
        </w:rPr>
      </w:pPr>
      <w:r>
        <w:rPr>
          <w:rFonts w:cs="Arial" w:ascii="Arial" w:hAnsi="Arial"/>
          <w:sz w:val="22"/>
        </w:rPr>
        <w:t xml:space="preserve">the willingness of the OEB to force LDC compliance </w:t>
      </w:r>
    </w:p>
    <w:p>
      <w:pPr>
        <w:pStyle w:val="Header"/>
        <w:tabs>
          <w:tab w:val="clear" w:pos="4320"/>
          <w:tab w:val="clear" w:pos="8640"/>
        </w:tabs>
        <w:spacing w:lineRule="exact" w:line="300"/>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4"/>
        </w:rPr>
      </w:r>
    </w:p>
    <w:p>
      <w:pPr>
        <w:pStyle w:val="Heading3"/>
        <w:ind w:hanging="0" w:start="0"/>
        <w:rPr>
          <w:sz w:val="24"/>
          <w:u w:val="single"/>
        </w:rPr>
      </w:pPr>
      <w:r>
        <w:rPr>
          <w:sz w:val="24"/>
          <w:u w:val="single"/>
        </w:rPr>
        <w:t>Objectives</w:t>
      </w:r>
    </w:p>
    <w:p>
      <w:pPr>
        <w:pStyle w:val="Normal"/>
        <w:rPr>
          <w:sz w:val="24"/>
          <w:u w:val="single"/>
        </w:rPr>
      </w:pPr>
      <w:r>
        <w:rPr>
          <w:sz w:val="24"/>
          <w:u w:val="single"/>
        </w:rPr>
      </w:r>
    </w:p>
    <w:p>
      <w:pPr>
        <w:pStyle w:val="BodyText2"/>
        <w:numPr>
          <w:ilvl w:val="0"/>
          <w:numId w:val="28"/>
        </w:numPr>
        <w:rPr/>
      </w:pPr>
      <w:r>
        <w:rPr/>
        <w:t xml:space="preserve">To establish a positive profile for Enron with key stakeholders in the Ontario market as an innovative and dependable leader in the coming open market for electricity, and; </w:t>
      </w:r>
    </w:p>
    <w:p>
      <w:pPr>
        <w:pStyle w:val="Normal"/>
        <w:numPr>
          <w:ilvl w:val="0"/>
          <w:numId w:val="27"/>
        </w:numPr>
        <w:rPr>
          <w:rFonts w:ascii="Arial" w:hAnsi="Arial" w:cs="Arial"/>
          <w:sz w:val="22"/>
        </w:rPr>
      </w:pPr>
      <w:r>
        <w:rPr>
          <w:rFonts w:cs="Arial" w:ascii="Arial" w:hAnsi="Arial"/>
          <w:sz w:val="22"/>
        </w:rPr>
        <w:t>To build confidence among stakeholders (news media, politicians, business and consumers) that an open market for electricity will benefit Ontarians.</w:t>
      </w:r>
    </w:p>
    <w:p>
      <w:pPr>
        <w:pStyle w:val="Normal"/>
        <w:rPr>
          <w:rFonts w:ascii="Arial" w:hAnsi="Arial" w:cs="Arial"/>
          <w:b/>
          <w:sz w:val="22"/>
        </w:rPr>
      </w:pPr>
      <w:r>
        <w:rPr>
          <w:rFonts w:cs="Arial" w:ascii="Arial" w:hAnsi="Arial"/>
          <w:b/>
          <w:sz w:val="22"/>
        </w:rPr>
      </w:r>
    </w:p>
    <w:p>
      <w:pPr>
        <w:pStyle w:val="Heading3"/>
        <w:ind w:hanging="0" w:start="0"/>
        <w:rPr>
          <w:rFonts w:ascii="Arial" w:hAnsi="Arial" w:cs="Arial"/>
          <w:b w:val="false"/>
          <w:sz w:val="24"/>
        </w:rPr>
      </w:pPr>
      <w:r>
        <w:rPr>
          <w:rFonts w:cs="Arial"/>
          <w:b w:val="false"/>
          <w:sz w:val="24"/>
        </w:rPr>
      </w:r>
    </w:p>
    <w:p>
      <w:pPr>
        <w:pStyle w:val="Heading3"/>
        <w:ind w:hanging="0" w:start="0"/>
        <w:rPr>
          <w:sz w:val="24"/>
          <w:u w:val="single"/>
        </w:rPr>
      </w:pPr>
      <w:r>
        <w:rPr>
          <w:sz w:val="24"/>
          <w:u w:val="single"/>
        </w:rPr>
        <w:t>Strategies</w:t>
      </w:r>
    </w:p>
    <w:p>
      <w:pPr>
        <w:pStyle w:val="Normal"/>
        <w:rPr>
          <w:rFonts w:ascii="Arial" w:hAnsi="Arial" w:cs="Arial"/>
          <w:b/>
          <w:sz w:val="24"/>
          <w:u w:val="single"/>
        </w:rPr>
      </w:pPr>
      <w:r>
        <w:rPr>
          <w:rFonts w:cs="Arial" w:ascii="Arial" w:hAnsi="Arial"/>
          <w:b/>
          <w:sz w:val="24"/>
          <w:u w:val="single"/>
        </w:rPr>
      </w:r>
    </w:p>
    <w:p>
      <w:pPr>
        <w:pStyle w:val="Normal"/>
        <w:numPr>
          <w:ilvl w:val="0"/>
          <w:numId w:val="16"/>
        </w:numPr>
        <w:rPr>
          <w:rFonts w:ascii="Arial" w:hAnsi="Arial" w:cs="Arial"/>
          <w:sz w:val="22"/>
        </w:rPr>
      </w:pPr>
      <w:r>
        <w:rPr>
          <w:rFonts w:cs="Arial" w:ascii="Arial" w:hAnsi="Arial"/>
          <w:b/>
          <w:sz w:val="22"/>
        </w:rPr>
        <w:t>Familiarize</w:t>
      </w:r>
      <w:r>
        <w:rPr>
          <w:rFonts w:cs="Arial" w:ascii="Arial" w:hAnsi="Arial"/>
          <w:sz w:val="22"/>
        </w:rPr>
        <w:t xml:space="preserve"> stakeholders including the news media, key business leaders and the official opposition at Queen’s Park, and through them Ontario consumers, with Enron positives, such as its:</w:t>
      </w:r>
    </w:p>
    <w:p>
      <w:pPr>
        <w:pStyle w:val="Normal"/>
        <w:numPr>
          <w:ilvl w:val="0"/>
          <w:numId w:val="19"/>
        </w:numPr>
        <w:tabs>
          <w:tab w:val="left" w:pos="720" w:leader="none"/>
        </w:tabs>
        <w:ind w:hanging="360" w:start="720" w:end="0"/>
        <w:rPr>
          <w:rFonts w:ascii="Arial" w:hAnsi="Arial" w:cs="Arial"/>
          <w:sz w:val="22"/>
        </w:rPr>
      </w:pPr>
      <w:r>
        <w:rPr>
          <w:rFonts w:cs="Arial" w:ascii="Arial" w:hAnsi="Arial"/>
          <w:sz w:val="22"/>
        </w:rPr>
        <w:t>acknowledged reputation for innovation</w:t>
      </w:r>
    </w:p>
    <w:p>
      <w:pPr>
        <w:pStyle w:val="Normal"/>
        <w:numPr>
          <w:ilvl w:val="0"/>
          <w:numId w:val="19"/>
        </w:numPr>
        <w:tabs>
          <w:tab w:val="left" w:pos="720" w:leader="none"/>
        </w:tabs>
        <w:ind w:hanging="360" w:start="720" w:end="0"/>
        <w:rPr>
          <w:rFonts w:ascii="Arial" w:hAnsi="Arial" w:cs="Arial"/>
          <w:sz w:val="22"/>
        </w:rPr>
      </w:pPr>
      <w:r>
        <w:rPr>
          <w:rFonts w:cs="Arial" w:ascii="Arial" w:hAnsi="Arial"/>
          <w:sz w:val="22"/>
        </w:rPr>
        <w:t xml:space="preserve">extensive experience in helping create, and operate in, competitive markets </w:t>
      </w:r>
    </w:p>
    <w:p>
      <w:pPr>
        <w:pStyle w:val="Normal"/>
        <w:ind w:start="360" w:end="0"/>
        <w:rPr>
          <w:rFonts w:ascii="Arial" w:hAnsi="Arial" w:cs="Arial"/>
          <w:sz w:val="22"/>
        </w:rPr>
      </w:pPr>
      <w:r>
        <w:rPr>
          <w:rFonts w:cs="Arial" w:ascii="Arial" w:hAnsi="Arial"/>
          <w:sz w:val="22"/>
        </w:rPr>
      </w:r>
    </w:p>
    <w:p>
      <w:pPr>
        <w:pStyle w:val="Normal"/>
        <w:numPr>
          <w:ilvl w:val="0"/>
          <w:numId w:val="16"/>
        </w:numPr>
        <w:rPr>
          <w:rFonts w:ascii="Arial" w:hAnsi="Arial" w:cs="Arial"/>
          <w:sz w:val="22"/>
        </w:rPr>
      </w:pPr>
      <w:r>
        <w:rPr>
          <w:rFonts w:cs="Arial" w:ascii="Arial" w:hAnsi="Arial"/>
          <w:b/>
          <w:sz w:val="22"/>
        </w:rPr>
        <w:t>Educate</w:t>
      </w:r>
      <w:r>
        <w:rPr>
          <w:rFonts w:cs="Arial" w:ascii="Arial" w:hAnsi="Arial"/>
          <w:sz w:val="22"/>
        </w:rPr>
        <w:t xml:space="preserve"> stakeholders about the nature and benefits of a competitive market for electricity, to the extent that it:</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encourages innovation and eventual downward pressure on rates</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enables market access for environmentally-friendly renewables</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lessens dependence on coal-fired generation</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closes the gap between anticipated demand and available supply by encouraging timely investments in generating capacity</w:t>
      </w:r>
    </w:p>
    <w:p>
      <w:pPr>
        <w:pStyle w:val="Normal"/>
        <w:numPr>
          <w:ilvl w:val="0"/>
          <w:numId w:val="2"/>
        </w:numPr>
        <w:tabs>
          <w:tab w:val="left" w:pos="720" w:leader="none"/>
        </w:tabs>
        <w:ind w:hanging="360" w:start="720" w:end="0"/>
        <w:rPr>
          <w:rFonts w:ascii="Arial" w:hAnsi="Arial" w:cs="Arial"/>
          <w:sz w:val="22"/>
        </w:rPr>
      </w:pPr>
      <w:r>
        <w:rPr>
          <w:rFonts w:cs="Arial" w:ascii="Arial" w:hAnsi="Arial"/>
          <w:sz w:val="22"/>
        </w:rPr>
        <w:t>is proven to have benefited consumers in the Pennsylvania experience</w:t>
      </w:r>
    </w:p>
    <w:p>
      <w:pPr>
        <w:pStyle w:val="Normal"/>
        <w:rPr>
          <w:rFonts w:ascii="Arial" w:hAnsi="Arial" w:cs="Arial"/>
          <w:sz w:val="22"/>
        </w:rPr>
      </w:pPr>
      <w:r>
        <w:rPr>
          <w:rFonts w:cs="Arial" w:ascii="Arial" w:hAnsi="Arial"/>
          <w:sz w:val="22"/>
        </w:rPr>
      </w:r>
    </w:p>
    <w:p>
      <w:pPr>
        <w:pStyle w:val="Normal"/>
        <w:numPr>
          <w:ilvl w:val="0"/>
          <w:numId w:val="16"/>
        </w:numPr>
        <w:rPr>
          <w:rFonts w:ascii="Arial" w:hAnsi="Arial" w:cs="Arial"/>
          <w:sz w:val="22"/>
        </w:rPr>
      </w:pPr>
      <w:r>
        <w:rPr>
          <w:rFonts w:cs="Arial" w:ascii="Arial" w:hAnsi="Arial"/>
          <w:b/>
          <w:sz w:val="22"/>
        </w:rPr>
        <w:t>Mitigate</w:t>
      </w:r>
      <w:r>
        <w:rPr>
          <w:rFonts w:cs="Arial" w:ascii="Arial" w:hAnsi="Arial"/>
          <w:sz w:val="22"/>
        </w:rPr>
        <w:t xml:space="preserve"> negative perceptions of the company among sophisticated audiences, such as:</w:t>
      </w:r>
    </w:p>
    <w:p>
      <w:pPr>
        <w:pStyle w:val="Normal"/>
        <w:numPr>
          <w:ilvl w:val="0"/>
          <w:numId w:val="15"/>
        </w:numPr>
        <w:tabs>
          <w:tab w:val="left" w:pos="720" w:leader="none"/>
        </w:tabs>
        <w:ind w:hanging="360" w:start="720" w:end="0"/>
        <w:rPr>
          <w:rFonts w:ascii="Arial" w:hAnsi="Arial" w:cs="Arial"/>
          <w:sz w:val="22"/>
        </w:rPr>
      </w:pPr>
      <w:r>
        <w:rPr>
          <w:rFonts w:cs="Arial" w:ascii="Arial" w:hAnsi="Arial"/>
          <w:sz w:val="22"/>
        </w:rPr>
        <w:t>extent of its influence on U.S. energy policy and decision makers</w:t>
      </w:r>
    </w:p>
    <w:p>
      <w:pPr>
        <w:pStyle w:val="Normal"/>
        <w:numPr>
          <w:ilvl w:val="0"/>
          <w:numId w:val="15"/>
        </w:numPr>
        <w:tabs>
          <w:tab w:val="left" w:pos="720" w:leader="none"/>
        </w:tabs>
        <w:ind w:hanging="360" w:start="720" w:end="0"/>
        <w:rPr>
          <w:rFonts w:ascii="Arial" w:hAnsi="Arial" w:cs="Arial"/>
          <w:sz w:val="22"/>
        </w:rPr>
      </w:pPr>
      <w:r>
        <w:rPr>
          <w:rFonts w:cs="Arial" w:ascii="Arial" w:hAnsi="Arial"/>
          <w:sz w:val="22"/>
        </w:rPr>
        <w:t>perceived culpability in the California crisis</w:t>
      </w:r>
    </w:p>
    <w:p>
      <w:pPr>
        <w:pStyle w:val="Normal"/>
        <w:numPr>
          <w:ilvl w:val="0"/>
          <w:numId w:val="15"/>
        </w:numPr>
        <w:tabs>
          <w:tab w:val="left" w:pos="720" w:leader="none"/>
        </w:tabs>
        <w:ind w:hanging="360" w:start="720" w:end="0"/>
        <w:rPr>
          <w:rFonts w:ascii="Arial" w:hAnsi="Arial" w:cs="Arial"/>
          <w:sz w:val="22"/>
        </w:rPr>
      </w:pPr>
      <w:r>
        <w:rPr>
          <w:rFonts w:cs="Arial" w:ascii="Arial" w:hAnsi="Arial"/>
          <w:sz w:val="22"/>
        </w:rPr>
        <w:t>residual accounts of the Stanley matter</w:t>
      </w:r>
    </w:p>
    <w:p>
      <w:pPr>
        <w:pStyle w:val="Normal"/>
        <w:numPr>
          <w:ilvl w:val="0"/>
          <w:numId w:val="15"/>
        </w:numPr>
        <w:tabs>
          <w:tab w:val="left" w:pos="720" w:leader="none"/>
        </w:tabs>
        <w:ind w:hanging="360" w:start="720" w:end="0"/>
        <w:rPr>
          <w:rFonts w:ascii="Arial" w:hAnsi="Arial" w:cs="Arial"/>
          <w:sz w:val="22"/>
        </w:rPr>
      </w:pPr>
      <w:r>
        <w:rPr>
          <w:rFonts w:cs="Arial" w:ascii="Arial" w:hAnsi="Arial"/>
          <w:sz w:val="22"/>
        </w:rPr>
        <w:t>uncertainty over Enron’s business model (broadband, planned expansion into trading other commodities, departure of Jeffrey Skilling, etc.)</w:t>
      </w:r>
    </w:p>
    <w:p>
      <w:pPr>
        <w:pStyle w:val="Normal"/>
        <w:rPr>
          <w:rFonts w:ascii="Arial" w:hAnsi="Arial" w:cs="Arial"/>
          <w:sz w:val="22"/>
        </w:rPr>
      </w:pPr>
      <w:r>
        <w:rPr>
          <w:rFonts w:cs="Arial" w:ascii="Arial" w:hAnsi="Arial"/>
          <w:sz w:val="22"/>
        </w:rPr>
      </w:r>
    </w:p>
    <w:p>
      <w:pPr>
        <w:pStyle w:val="Normal"/>
        <w:numPr>
          <w:ilvl w:val="0"/>
          <w:numId w:val="16"/>
        </w:numPr>
        <w:rPr>
          <w:rFonts w:ascii="Arial" w:hAnsi="Arial" w:cs="Arial"/>
          <w:sz w:val="22"/>
        </w:rPr>
      </w:pPr>
      <w:r>
        <w:rPr>
          <w:rFonts w:cs="Arial" w:ascii="Arial" w:hAnsi="Arial"/>
          <w:sz w:val="22"/>
        </w:rPr>
        <w:t xml:space="preserve">Proactively </w:t>
      </w:r>
      <w:r>
        <w:rPr>
          <w:rFonts w:cs="Arial" w:ascii="Arial" w:hAnsi="Arial"/>
          <w:b/>
          <w:sz w:val="22"/>
        </w:rPr>
        <w:t>manage</w:t>
      </w:r>
      <w:r>
        <w:rPr>
          <w:rFonts w:cs="Arial" w:ascii="Arial" w:hAnsi="Arial"/>
          <w:sz w:val="22"/>
        </w:rPr>
        <w:t xml:space="preserve"> issues related to the likelihood that electricity rates will rise in the short term following market opening.</w:t>
      </w:r>
      <w:r>
        <w:br w:type="page"/>
      </w:r>
    </w:p>
    <w:p>
      <w:pPr>
        <w:pStyle w:val="Normal"/>
        <w:rPr>
          <w:rFonts w:ascii="Arial" w:hAnsi="Arial" w:cs="Arial"/>
          <w:b/>
          <w:sz w:val="24"/>
        </w:rPr>
      </w:pPr>
      <w:r>
        <w:rPr>
          <w:rFonts w:cs="Arial" w:ascii="Arial" w:hAnsi="Arial"/>
          <w:b/>
          <w:sz w:val="24"/>
        </w:rPr>
      </w:r>
    </w:p>
    <w:p>
      <w:pPr>
        <w:pStyle w:val="Heading3"/>
        <w:ind w:hanging="0" w:start="0"/>
        <w:rPr>
          <w:sz w:val="24"/>
          <w:u w:val="single"/>
        </w:rPr>
      </w:pPr>
      <w:r>
        <w:rPr>
          <w:sz w:val="24"/>
          <w:u w:val="single"/>
        </w:rPr>
        <w:t xml:space="preserve">Tactics &amp; Execution </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r>
    </w:p>
    <w:tbl>
      <w:tblPr>
        <w:tblW w:w="5850" w:type="dxa"/>
        <w:jc w:val="start"/>
        <w:tblInd w:w="1908" w:type="dxa"/>
        <w:tblLayout w:type="fixed"/>
        <w:tblCellMar>
          <w:top w:w="0" w:type="dxa"/>
          <w:start w:w="108" w:type="dxa"/>
          <w:bottom w:w="0" w:type="dxa"/>
          <w:end w:w="108" w:type="dxa"/>
        </w:tblCellMar>
      </w:tblPr>
      <w:tblGrid>
        <w:gridCol w:w="5850"/>
      </w:tblGrid>
      <w:tr>
        <w:trPr/>
        <w:tc>
          <w:tcPr>
            <w:tcW w:w="585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Summary of Tactical Initiatives</w:t>
            </w:r>
          </w:p>
          <w:p>
            <w:pPr>
              <w:pStyle w:val="Normal"/>
              <w:rPr>
                <w:rFonts w:ascii="Arial" w:hAnsi="Arial" w:cs="Arial"/>
                <w:sz w:val="22"/>
              </w:rPr>
            </w:pPr>
            <w:r>
              <w:rPr>
                <w:rFonts w:cs="Arial" w:ascii="Arial" w:hAnsi="Arial"/>
                <w:sz w:val="22"/>
              </w:rPr>
            </w:r>
          </w:p>
          <w:p>
            <w:pPr>
              <w:pStyle w:val="Normal"/>
              <w:numPr>
                <w:ilvl w:val="0"/>
                <w:numId w:val="24"/>
              </w:numPr>
              <w:rPr>
                <w:rFonts w:ascii="Arial" w:hAnsi="Arial" w:cs="Arial"/>
                <w:sz w:val="22"/>
              </w:rPr>
            </w:pPr>
            <w:r>
              <w:rPr>
                <w:rFonts w:cs="Arial" w:ascii="Arial" w:hAnsi="Arial"/>
                <w:sz w:val="22"/>
              </w:rPr>
              <w:t>Ontario Market Perceptions Study</w:t>
            </w:r>
          </w:p>
          <w:p>
            <w:pPr>
              <w:pStyle w:val="Normal"/>
              <w:numPr>
                <w:ilvl w:val="0"/>
                <w:numId w:val="24"/>
              </w:numPr>
              <w:rPr>
                <w:rFonts w:ascii="Arial" w:hAnsi="Arial" w:cs="Arial"/>
                <w:sz w:val="22"/>
              </w:rPr>
            </w:pPr>
            <w:r>
              <w:rPr>
                <w:rFonts w:cs="Arial" w:ascii="Arial" w:hAnsi="Arial"/>
                <w:sz w:val="22"/>
              </w:rPr>
              <w:t>The Enron Story-line</w:t>
            </w:r>
          </w:p>
          <w:p>
            <w:pPr>
              <w:pStyle w:val="Normal"/>
              <w:numPr>
                <w:ilvl w:val="0"/>
                <w:numId w:val="24"/>
              </w:numPr>
              <w:rPr>
                <w:rFonts w:ascii="Arial" w:hAnsi="Arial" w:cs="Arial"/>
                <w:sz w:val="22"/>
              </w:rPr>
            </w:pPr>
            <w:r>
              <w:rPr>
                <w:rFonts w:cs="Arial" w:ascii="Arial" w:hAnsi="Arial"/>
                <w:sz w:val="22"/>
              </w:rPr>
              <w:t>Key Message Development</w:t>
            </w:r>
          </w:p>
          <w:p>
            <w:pPr>
              <w:pStyle w:val="Normal"/>
              <w:numPr>
                <w:ilvl w:val="0"/>
                <w:numId w:val="24"/>
              </w:numPr>
              <w:rPr>
                <w:rFonts w:ascii="Arial" w:hAnsi="Arial" w:cs="Arial"/>
                <w:sz w:val="22"/>
              </w:rPr>
            </w:pPr>
            <w:r>
              <w:rPr>
                <w:rFonts w:cs="Arial" w:ascii="Arial" w:hAnsi="Arial"/>
                <w:sz w:val="22"/>
              </w:rPr>
              <w:t>Supporting Materials</w:t>
            </w:r>
          </w:p>
          <w:p>
            <w:pPr>
              <w:pStyle w:val="Normal"/>
              <w:numPr>
                <w:ilvl w:val="0"/>
                <w:numId w:val="24"/>
              </w:numPr>
              <w:rPr>
                <w:rFonts w:ascii="Arial" w:hAnsi="Arial" w:cs="Arial"/>
                <w:sz w:val="22"/>
              </w:rPr>
            </w:pPr>
            <w:r>
              <w:rPr>
                <w:rFonts w:cs="Arial" w:ascii="Arial" w:hAnsi="Arial"/>
                <w:sz w:val="22"/>
              </w:rPr>
              <w:t>Key Contact Program</w:t>
            </w:r>
          </w:p>
          <w:p>
            <w:pPr>
              <w:pStyle w:val="Normal"/>
              <w:numPr>
                <w:ilvl w:val="0"/>
                <w:numId w:val="24"/>
              </w:numPr>
              <w:rPr>
                <w:rFonts w:ascii="Arial" w:hAnsi="Arial" w:cs="Arial"/>
                <w:sz w:val="22"/>
              </w:rPr>
            </w:pPr>
            <w:r>
              <w:rPr>
                <w:rFonts w:cs="Arial" w:ascii="Arial" w:hAnsi="Arial"/>
                <w:sz w:val="22"/>
              </w:rPr>
              <w:t>Coalition Building</w:t>
            </w:r>
          </w:p>
          <w:p>
            <w:pPr>
              <w:pStyle w:val="Normal"/>
              <w:numPr>
                <w:ilvl w:val="0"/>
                <w:numId w:val="24"/>
              </w:numPr>
              <w:rPr>
                <w:rFonts w:ascii="Arial" w:hAnsi="Arial" w:cs="Arial"/>
                <w:sz w:val="22"/>
              </w:rPr>
            </w:pPr>
            <w:r>
              <w:rPr>
                <w:rFonts w:cs="Arial" w:ascii="Arial" w:hAnsi="Arial"/>
                <w:sz w:val="22"/>
              </w:rPr>
              <w:t>Regional Major Media Market Tour</w:t>
            </w:r>
          </w:p>
          <w:p>
            <w:pPr>
              <w:pStyle w:val="Normal"/>
              <w:numPr>
                <w:ilvl w:val="0"/>
                <w:numId w:val="24"/>
              </w:numPr>
              <w:rPr>
                <w:rFonts w:ascii="Arial" w:hAnsi="Arial" w:cs="Arial"/>
                <w:sz w:val="22"/>
              </w:rPr>
            </w:pPr>
            <w:r>
              <w:rPr>
                <w:rFonts w:cs="Arial" w:ascii="Arial" w:hAnsi="Arial"/>
                <w:sz w:val="22"/>
              </w:rPr>
              <w:t>Intensified Toronto-based Business Media Solicitation</w:t>
            </w:r>
          </w:p>
          <w:p>
            <w:pPr>
              <w:pStyle w:val="Normal"/>
              <w:numPr>
                <w:ilvl w:val="0"/>
                <w:numId w:val="24"/>
              </w:numPr>
              <w:rPr>
                <w:rFonts w:ascii="Arial" w:hAnsi="Arial" w:cs="Arial"/>
                <w:sz w:val="22"/>
              </w:rPr>
            </w:pPr>
            <w:r>
              <w:rPr>
                <w:rFonts w:cs="Arial" w:ascii="Arial" w:hAnsi="Arial"/>
                <w:sz w:val="22"/>
              </w:rPr>
              <w:t>Media Monitoring and Quick Response Capabilities</w:t>
            </w:r>
          </w:p>
        </w:tc>
      </w:tr>
    </w:tbl>
    <w:p>
      <w:pPr>
        <w:pStyle w:val="Normal"/>
        <w:jc w:val="cente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Ontario Market Perceptions Study</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GPC recommends that Enron undertake a comprehensive study of perceptions and understanding of electricity market opening in the Ontario residential and SME market segments. This study will help us to identify the “hot buttons” on this issue. The study will also allow us to  probe participants on their knowledge and impressions of Enron.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study will assist Enron in a number of ways:</w:t>
      </w:r>
    </w:p>
    <w:p>
      <w:pPr>
        <w:pStyle w:val="Normal"/>
        <w:rPr>
          <w:rFonts w:ascii="Arial" w:hAnsi="Arial" w:cs="Arial"/>
          <w:sz w:val="22"/>
        </w:rPr>
      </w:pPr>
      <w:r>
        <w:rPr>
          <w:rFonts w:cs="Arial" w:ascii="Arial" w:hAnsi="Arial"/>
          <w:sz w:val="22"/>
        </w:rPr>
      </w:r>
    </w:p>
    <w:p>
      <w:pPr>
        <w:pStyle w:val="Normal"/>
        <w:numPr>
          <w:ilvl w:val="0"/>
          <w:numId w:val="20"/>
        </w:numPr>
        <w:rPr>
          <w:rFonts w:ascii="Arial" w:hAnsi="Arial" w:cs="Arial"/>
          <w:sz w:val="22"/>
        </w:rPr>
      </w:pPr>
      <w:r>
        <w:rPr>
          <w:rFonts w:cs="Arial" w:ascii="Arial" w:hAnsi="Arial"/>
          <w:sz w:val="22"/>
        </w:rPr>
        <w:t xml:space="preserve">It will provide Enron with significant insights into two key market segments. </w:t>
      </w:r>
    </w:p>
    <w:p>
      <w:pPr>
        <w:pStyle w:val="Normal"/>
        <w:numPr>
          <w:ilvl w:val="0"/>
          <w:numId w:val="20"/>
        </w:numPr>
        <w:rPr>
          <w:rFonts w:ascii="Arial" w:hAnsi="Arial" w:cs="Arial"/>
          <w:sz w:val="22"/>
        </w:rPr>
      </w:pPr>
      <w:r>
        <w:rPr>
          <w:rFonts w:cs="Arial" w:ascii="Arial" w:hAnsi="Arial"/>
          <w:sz w:val="22"/>
        </w:rPr>
        <w:t>It will assist in crafting key messaging on market opening for both of these market segments.</w:t>
      </w:r>
    </w:p>
    <w:p>
      <w:pPr>
        <w:pStyle w:val="Normal"/>
        <w:numPr>
          <w:ilvl w:val="0"/>
          <w:numId w:val="20"/>
        </w:numPr>
        <w:rPr>
          <w:rFonts w:ascii="Arial" w:hAnsi="Arial" w:cs="Arial"/>
          <w:sz w:val="22"/>
        </w:rPr>
      </w:pPr>
      <w:r>
        <w:rPr>
          <w:rFonts w:cs="Arial" w:ascii="Arial" w:hAnsi="Arial"/>
          <w:sz w:val="22"/>
        </w:rPr>
        <w:t>It will provide Enron with factual data on the knowledge and understanding of its brand and value propositions.</w:t>
      </w:r>
    </w:p>
    <w:p>
      <w:pPr>
        <w:pStyle w:val="Normal"/>
        <w:numPr>
          <w:ilvl w:val="0"/>
          <w:numId w:val="20"/>
        </w:numPr>
        <w:rPr>
          <w:rFonts w:ascii="Arial" w:hAnsi="Arial" w:cs="Arial"/>
          <w:sz w:val="22"/>
        </w:rPr>
      </w:pPr>
      <w:r>
        <w:rPr>
          <w:rFonts w:cs="Arial" w:ascii="Arial" w:hAnsi="Arial"/>
          <w:sz w:val="22"/>
        </w:rPr>
        <w:t>It will be a benchmark against which the effectiveness of future communications initiatives can be measured.</w:t>
      </w:r>
    </w:p>
    <w:p>
      <w:pPr>
        <w:pStyle w:val="Normal"/>
        <w:rPr>
          <w:rFonts w:ascii="Arial" w:hAnsi="Arial" w:cs="Arial"/>
          <w:sz w:val="22"/>
        </w:rPr>
      </w:pPr>
      <w:r>
        <w:rPr>
          <w:rFonts w:cs="Arial" w:ascii="Arial" w:hAnsi="Arial"/>
          <w:sz w:val="22"/>
        </w:rPr>
      </w:r>
    </w:p>
    <w:p>
      <w:pPr>
        <w:pStyle w:val="Normal"/>
        <w:numPr>
          <w:ilvl w:val="0"/>
          <w:numId w:val="9"/>
        </w:numPr>
        <w:rPr>
          <w:rFonts w:ascii="Arial" w:hAnsi="Arial" w:cs="Arial"/>
          <w:b/>
          <w:sz w:val="22"/>
        </w:rPr>
      </w:pPr>
      <w:r>
        <w:rPr>
          <w:rFonts w:cs="Arial" w:ascii="Arial" w:hAnsi="Arial"/>
          <w:b/>
          <w:sz w:val="22"/>
        </w:rPr>
        <w:t>The Enron story-line</w:t>
      </w:r>
    </w:p>
    <w:p>
      <w:pPr>
        <w:pStyle w:val="Normal"/>
        <w:rPr>
          <w:rFonts w:ascii="Arial" w:hAnsi="Arial" w:cs="Arial"/>
          <w:b/>
          <w:sz w:val="22"/>
        </w:rPr>
      </w:pPr>
      <w:r>
        <w:rPr>
          <w:rFonts w:cs="Arial" w:ascii="Arial" w:hAnsi="Arial"/>
          <w:b/>
          <w:sz w:val="22"/>
        </w:rPr>
      </w:r>
    </w:p>
    <w:p>
      <w:pPr>
        <w:pStyle w:val="Normal"/>
        <w:numPr>
          <w:ilvl w:val="0"/>
          <w:numId w:val="23"/>
        </w:numPr>
        <w:rPr>
          <w:rFonts w:ascii="Arial" w:hAnsi="Arial" w:cs="Arial"/>
          <w:sz w:val="22"/>
        </w:rPr>
      </w:pPr>
      <w:r>
        <w:rPr>
          <w:rFonts w:cs="Arial" w:ascii="Arial" w:hAnsi="Arial"/>
          <w:sz w:val="22"/>
        </w:rPr>
        <w:t>A comprehensive “narrative” that weaves all required information and messages into a plain-English, cohesive whole</w:t>
      </w:r>
    </w:p>
    <w:p>
      <w:pPr>
        <w:pStyle w:val="Normal"/>
        <w:numPr>
          <w:ilvl w:val="0"/>
          <w:numId w:val="23"/>
        </w:numPr>
        <w:rPr>
          <w:rFonts w:ascii="Arial" w:hAnsi="Arial" w:cs="Arial"/>
          <w:sz w:val="22"/>
        </w:rPr>
      </w:pPr>
      <w:r>
        <w:rPr>
          <w:rFonts w:cs="Arial" w:ascii="Arial" w:hAnsi="Arial"/>
          <w:sz w:val="22"/>
        </w:rPr>
        <w:t>A central reference point for all communications activities to ensure consistency</w:t>
      </w:r>
    </w:p>
    <w:p>
      <w:pPr>
        <w:pStyle w:val="Normal"/>
        <w:numPr>
          <w:ilvl w:val="0"/>
          <w:numId w:val="23"/>
        </w:numPr>
        <w:rPr>
          <w:rFonts w:ascii="Arial" w:hAnsi="Arial" w:cs="Arial"/>
          <w:sz w:val="22"/>
        </w:rPr>
      </w:pPr>
      <w:r>
        <w:rPr>
          <w:rFonts w:cs="Arial" w:ascii="Arial" w:hAnsi="Arial"/>
          <w:sz w:val="22"/>
        </w:rPr>
        <w:t>A driver for key message development</w:t>
      </w:r>
      <w:r>
        <w:br w:type="page"/>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Key message development</w:t>
      </w:r>
    </w:p>
    <w:p>
      <w:pPr>
        <w:pStyle w:val="Normal"/>
        <w:rPr>
          <w:rFonts w:ascii="Arial" w:hAnsi="Arial" w:cs="Arial"/>
          <w:b/>
          <w:sz w:val="22"/>
        </w:rPr>
      </w:pPr>
      <w:r>
        <w:rPr>
          <w:rFonts w:cs="Arial" w:ascii="Arial" w:hAnsi="Arial"/>
          <w:b/>
          <w:sz w:val="22"/>
        </w:rPr>
      </w:r>
    </w:p>
    <w:p>
      <w:pPr>
        <w:pStyle w:val="Normal"/>
        <w:numPr>
          <w:ilvl w:val="0"/>
          <w:numId w:val="18"/>
        </w:numPr>
        <w:rPr>
          <w:rFonts w:ascii="Arial" w:hAnsi="Arial" w:cs="Arial"/>
          <w:sz w:val="22"/>
        </w:rPr>
      </w:pPr>
      <w:r>
        <w:rPr>
          <w:rFonts w:cs="Arial" w:ascii="Arial" w:hAnsi="Arial"/>
          <w:sz w:val="22"/>
        </w:rPr>
        <w:t>Global key messages for all audiences on:</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Enron positives</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nature and benefits of market opening</w:t>
      </w:r>
    </w:p>
    <w:p>
      <w:pPr>
        <w:pStyle w:val="Normal"/>
        <w:numPr>
          <w:ilvl w:val="0"/>
          <w:numId w:val="5"/>
        </w:numPr>
        <w:rPr>
          <w:rFonts w:ascii="Arial" w:hAnsi="Arial" w:cs="Arial"/>
          <w:sz w:val="22"/>
        </w:rPr>
      </w:pPr>
      <w:r>
        <w:rPr>
          <w:rFonts w:cs="Arial" w:ascii="Arial" w:hAnsi="Arial"/>
          <w:sz w:val="22"/>
        </w:rPr>
        <w:t>Defensive/as required key messages on:</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negative perceptions of Enron</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likelihood of rate increases</w:t>
      </w:r>
    </w:p>
    <w:p>
      <w:pPr>
        <w:pStyle w:val="Normal"/>
        <w:numPr>
          <w:ilvl w:val="0"/>
          <w:numId w:val="10"/>
        </w:numPr>
        <w:rPr>
          <w:rFonts w:ascii="Arial" w:hAnsi="Arial" w:cs="Arial"/>
          <w:sz w:val="22"/>
        </w:rPr>
      </w:pPr>
      <w:r>
        <w:rPr>
          <w:rFonts w:cs="Arial" w:ascii="Arial" w:hAnsi="Arial"/>
          <w:sz w:val="22"/>
        </w:rPr>
        <w:t>Key messages by audience:</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news and business media</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industry associations</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analysts</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politicians and regulators</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consumer groups</w:t>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SMEs</w:t>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 xml:space="preserve">Supporting materials </w:t>
      </w:r>
    </w:p>
    <w:p>
      <w:pPr>
        <w:pStyle w:val="Normal"/>
        <w:rPr>
          <w:rFonts w:ascii="Arial" w:hAnsi="Arial" w:cs="Arial"/>
          <w:b/>
          <w:sz w:val="22"/>
        </w:rPr>
      </w:pPr>
      <w:r>
        <w:rPr>
          <w:rFonts w:cs="Arial" w:ascii="Arial" w:hAnsi="Arial"/>
          <w:b/>
          <w:sz w:val="22"/>
        </w:rPr>
      </w:r>
    </w:p>
    <w:p>
      <w:pPr>
        <w:pStyle w:val="Normal"/>
        <w:numPr>
          <w:ilvl w:val="0"/>
          <w:numId w:val="21"/>
        </w:numPr>
        <w:rPr>
          <w:rFonts w:ascii="Arial" w:hAnsi="Arial" w:cs="Arial"/>
          <w:sz w:val="22"/>
        </w:rPr>
      </w:pPr>
      <w:r>
        <w:rPr>
          <w:rFonts w:cs="Arial" w:ascii="Arial" w:hAnsi="Arial"/>
          <w:sz w:val="22"/>
        </w:rPr>
        <w:t>Comprehensive question-and-answer document</w:t>
      </w:r>
    </w:p>
    <w:p>
      <w:pPr>
        <w:pStyle w:val="Normal"/>
        <w:numPr>
          <w:ilvl w:val="0"/>
          <w:numId w:val="21"/>
        </w:numPr>
        <w:rPr>
          <w:rFonts w:ascii="Arial" w:hAnsi="Arial" w:cs="Arial"/>
          <w:sz w:val="22"/>
        </w:rPr>
      </w:pPr>
      <w:r>
        <w:rPr>
          <w:rFonts w:cs="Arial" w:ascii="Arial" w:hAnsi="Arial"/>
          <w:sz w:val="22"/>
        </w:rPr>
        <w:t>Core speech</w:t>
      </w:r>
    </w:p>
    <w:p>
      <w:pPr>
        <w:pStyle w:val="Normal"/>
        <w:numPr>
          <w:ilvl w:val="0"/>
          <w:numId w:val="21"/>
        </w:numPr>
        <w:rPr>
          <w:rFonts w:ascii="Arial" w:hAnsi="Arial" w:cs="Arial"/>
          <w:sz w:val="22"/>
        </w:rPr>
      </w:pPr>
      <w:r>
        <w:rPr>
          <w:rFonts w:cs="Arial" w:ascii="Arial" w:hAnsi="Arial"/>
          <w:sz w:val="22"/>
        </w:rPr>
        <w:t>Speaking notes</w:t>
      </w:r>
    </w:p>
    <w:p>
      <w:pPr>
        <w:pStyle w:val="Normal"/>
        <w:numPr>
          <w:ilvl w:val="0"/>
          <w:numId w:val="21"/>
        </w:numPr>
        <w:rPr>
          <w:rFonts w:ascii="Arial" w:hAnsi="Arial" w:cs="Arial"/>
          <w:sz w:val="22"/>
        </w:rPr>
      </w:pPr>
      <w:r>
        <w:rPr>
          <w:rFonts w:cs="Arial" w:ascii="Arial" w:hAnsi="Arial"/>
          <w:sz w:val="22"/>
        </w:rPr>
        <w:t>Technical backgrounders on:</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Enron history and business model</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Enron expertise in competitive markets for electricity</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electricity trading operations and procedures</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w:t>
      </w:r>
      <w:r>
        <w:rPr>
          <w:rFonts w:cs="Arial" w:ascii="Arial" w:hAnsi="Arial"/>
          <w:sz w:val="22"/>
        </w:rPr>
        <w:t>The Pennsylvania experience”</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w:t>
      </w:r>
      <w:r>
        <w:rPr>
          <w:rFonts w:cs="Arial" w:ascii="Arial" w:hAnsi="Arial"/>
          <w:sz w:val="22"/>
        </w:rPr>
        <w:t>Ontario is not California”:</w:t>
      </w:r>
    </w:p>
    <w:p>
      <w:pPr>
        <w:pStyle w:val="Normal"/>
        <w:numPr>
          <w:ilvl w:val="0"/>
          <w:numId w:val="11"/>
        </w:numPr>
        <w:tabs>
          <w:tab w:val="left" w:pos="720" w:leader="none"/>
        </w:tabs>
        <w:ind w:hanging="360" w:start="720" w:end="0"/>
        <w:rPr>
          <w:rFonts w:ascii="Arial" w:hAnsi="Arial" w:cs="Arial"/>
          <w:i/>
          <w:i/>
          <w:sz w:val="22"/>
        </w:rPr>
      </w:pPr>
      <w:r>
        <w:rPr>
          <w:rFonts w:cs="Arial" w:ascii="Arial" w:hAnsi="Arial"/>
          <w:i/>
          <w:sz w:val="22"/>
        </w:rPr>
        <w:t>California had too little capacity at time of deregulation. Not a problem here.</w:t>
      </w:r>
    </w:p>
    <w:p>
      <w:pPr>
        <w:pStyle w:val="Normal"/>
        <w:numPr>
          <w:ilvl w:val="0"/>
          <w:numId w:val="11"/>
        </w:numPr>
        <w:tabs>
          <w:tab w:val="left" w:pos="720" w:leader="none"/>
        </w:tabs>
        <w:ind w:hanging="360" w:start="720" w:end="0"/>
        <w:rPr>
          <w:rFonts w:ascii="Arial" w:hAnsi="Arial" w:cs="Arial"/>
          <w:i/>
          <w:i/>
          <w:sz w:val="22"/>
        </w:rPr>
      </w:pPr>
      <w:r>
        <w:rPr>
          <w:rFonts w:cs="Arial" w:ascii="Arial" w:hAnsi="Arial"/>
          <w:i/>
          <w:sz w:val="22"/>
        </w:rPr>
        <w:t>California too dependent on natural gas (which rose sharply in price). Not a problem here.</w:t>
      </w:r>
    </w:p>
    <w:p>
      <w:pPr>
        <w:pStyle w:val="Normal"/>
        <w:numPr>
          <w:ilvl w:val="0"/>
          <w:numId w:val="11"/>
        </w:numPr>
        <w:tabs>
          <w:tab w:val="left" w:pos="720" w:leader="none"/>
        </w:tabs>
        <w:ind w:hanging="360" w:start="720" w:end="0"/>
        <w:rPr>
          <w:rFonts w:ascii="Arial" w:hAnsi="Arial" w:cs="Arial"/>
          <w:i/>
          <w:i/>
          <w:sz w:val="22"/>
        </w:rPr>
      </w:pPr>
      <w:r>
        <w:rPr>
          <w:rFonts w:cs="Arial" w:ascii="Arial" w:hAnsi="Arial"/>
          <w:i/>
          <w:sz w:val="22"/>
        </w:rPr>
        <w:t>California failed to develop rules encouraging construction of new generation capacity. Not a problem here, etc.</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PowerPoint presentation/leave-behind for media briefings, speaking opportunities</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Media advisories as required</w:t>
      </w:r>
    </w:p>
    <w:p>
      <w:pPr>
        <w:pStyle w:val="Normal"/>
        <w:numPr>
          <w:ilvl w:val="0"/>
          <w:numId w:val="11"/>
        </w:numPr>
        <w:tabs>
          <w:tab w:val="left" w:pos="720" w:leader="none"/>
        </w:tabs>
        <w:ind w:hanging="360" w:start="720" w:end="0"/>
        <w:rPr>
          <w:rFonts w:ascii="Arial" w:hAnsi="Arial" w:cs="Arial"/>
          <w:sz w:val="22"/>
        </w:rPr>
      </w:pPr>
      <w:r>
        <w:rPr>
          <w:rFonts w:cs="Arial" w:ascii="Arial" w:hAnsi="Arial"/>
          <w:sz w:val="22"/>
        </w:rPr>
        <w:t>News releases as required</w:t>
      </w:r>
      <w:r>
        <w:br w:type="page"/>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Key contact program</w:t>
      </w:r>
    </w:p>
    <w:p>
      <w:pPr>
        <w:pStyle w:val="Normal"/>
        <w:rPr>
          <w:rFonts w:ascii="Arial" w:hAnsi="Arial" w:cs="Arial"/>
          <w:b/>
          <w:sz w:val="22"/>
        </w:rPr>
      </w:pPr>
      <w:r>
        <w:rPr>
          <w:rFonts w:cs="Arial" w:ascii="Arial" w:hAnsi="Arial"/>
          <w:b/>
          <w:sz w:val="22"/>
        </w:rPr>
      </w:r>
    </w:p>
    <w:p>
      <w:pPr>
        <w:pStyle w:val="Normal"/>
        <w:numPr>
          <w:ilvl w:val="0"/>
          <w:numId w:val="17"/>
        </w:numPr>
        <w:rPr>
          <w:rFonts w:ascii="Arial" w:hAnsi="Arial" w:cs="Arial"/>
          <w:sz w:val="22"/>
        </w:rPr>
      </w:pPr>
      <w:r>
        <w:rPr>
          <w:rFonts w:cs="Arial" w:ascii="Arial" w:hAnsi="Arial"/>
          <w:b/>
          <w:i/>
          <w:sz w:val="22"/>
        </w:rPr>
        <w:t>Liberal Queen’s Park Caucus Contact Program</w:t>
      </w:r>
      <w:r>
        <w:rPr>
          <w:rFonts w:cs="Arial" w:ascii="Arial" w:hAnsi="Arial"/>
          <w:sz w:val="22"/>
        </w:rPr>
        <w:t xml:space="preserve"> – GPC will develop a contact program designed to put you in touch with key decision-makers within the Liberal caucus thereby enabling Enron to quickly build relationships with them. </w:t>
      </w:r>
    </w:p>
    <w:p>
      <w:pPr>
        <w:pStyle w:val="Normal"/>
        <w:ind w:start="360" w:end="0"/>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 xml:space="preserve">Recognizing the time constraints of Enron’s representatives meetings will be arranged in a priority sequence. In support of Enron’s meetings, GPC will provide you with biographies and background material on each of these contacts including information on their knowledge and understanding of the electricity market opening issue. </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ind w:start="360" w:end="0"/>
        <w:rPr>
          <w:rFonts w:ascii="Arial" w:hAnsi="Arial" w:cs="Arial"/>
          <w:sz w:val="22"/>
        </w:rPr>
      </w:pPr>
      <w:r>
        <w:rPr>
          <w:rFonts w:cs="Arial" w:ascii="Arial" w:hAnsi="Arial"/>
          <w:sz w:val="22"/>
        </w:rPr>
        <w:t xml:space="preserve">GPC will also maintain regular communications with the key Liberal contacts for monitoring purposes. This will be important in helping us to obtain information about new developments and providing our contacts with regular updates on the market opening initiative. </w:t>
      </w:r>
    </w:p>
    <w:p>
      <w:pPr>
        <w:pStyle w:val="Header"/>
        <w:tabs>
          <w:tab w:val="clear" w:pos="4320"/>
          <w:tab w:val="clear" w:pos="8640"/>
        </w:tabs>
        <w:ind w:start="360" w:end="0"/>
        <w:rPr>
          <w:rFonts w:ascii="Arial" w:hAnsi="Arial" w:cs="Arial"/>
          <w:sz w:val="22"/>
        </w:rPr>
      </w:pPr>
      <w:r>
        <w:rPr>
          <w:rFonts w:cs="Arial" w:ascii="Arial" w:hAnsi="Arial"/>
          <w:sz w:val="22"/>
        </w:rPr>
      </w:r>
    </w:p>
    <w:tbl>
      <w:tblPr>
        <w:tblW w:w="9409" w:type="dxa"/>
        <w:jc w:val="start"/>
        <w:tblInd w:w="0" w:type="dxa"/>
        <w:tblLayout w:type="fixed"/>
        <w:tblCellMar>
          <w:top w:w="0" w:type="dxa"/>
          <w:start w:w="108" w:type="dxa"/>
          <w:bottom w:w="0" w:type="dxa"/>
          <w:end w:w="108" w:type="dxa"/>
        </w:tblCellMar>
      </w:tblPr>
      <w:tblGrid>
        <w:gridCol w:w="1927"/>
        <w:gridCol w:w="1211"/>
        <w:gridCol w:w="2761"/>
        <w:gridCol w:w="1583"/>
        <w:gridCol w:w="1927"/>
      </w:tblGrid>
      <w:tr>
        <w:trPr/>
        <w:tc>
          <w:tcPr>
            <w:tcW w:w="1927"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 xml:space="preserve">Contact Name </w:t>
            </w:r>
          </w:p>
        </w:tc>
        <w:tc>
          <w:tcPr>
            <w:tcW w:w="1211"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 xml:space="preserve">Telephone </w:t>
            </w:r>
          </w:p>
        </w:tc>
        <w:tc>
          <w:tcPr>
            <w:tcW w:w="2761"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Rationale</w:t>
            </w:r>
          </w:p>
        </w:tc>
        <w:tc>
          <w:tcPr>
            <w:tcW w:w="1583"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Date of Contact</w:t>
            </w:r>
          </w:p>
        </w:tc>
        <w:tc>
          <w:tcPr>
            <w:tcW w:w="1927"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Representatives</w:t>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Dalton McGuinty</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Leader of the Opposition</w:t>
            </w:r>
          </w:p>
        </w:tc>
        <w:tc>
          <w:tcPr>
            <w:tcW w:w="15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Sean Conway</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Opposition Critic MEST</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Gerry Phillips</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Opposition Critic Finance</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Sandra Pupatello</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Deputy Leader/</w:t>
            </w:r>
          </w:p>
          <w:p>
            <w:pPr>
              <w:pStyle w:val="Normal"/>
              <w:rPr/>
            </w:pPr>
            <w:r>
              <w:rPr/>
              <w:t xml:space="preserve">Chair Election Readiness  </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Dwight Duncan</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House Leader, Opposition Privatization Critic</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Greg Sorbara</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MPP, President Liberal Party of Ontario</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Jim Bradley</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 xml:space="preserve">Opposition Critic Environment </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Philip Dewan</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Chief of Staff, Leader of the Opposition</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Gerald Butts</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Head of Research, Office of the Leader of the Opposition</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Christine Bomè</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Director of Strategic Research, Office of the Leader of the Opposition</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sz w:val="22"/>
        </w:rPr>
      </w:pPr>
      <w:r>
        <w:rPr>
          <w:sz w:val="22"/>
        </w:rPr>
      </w:r>
    </w:p>
    <w:p>
      <w:pPr>
        <w:pStyle w:val="Normal"/>
        <w:numPr>
          <w:ilvl w:val="0"/>
          <w:numId w:val="4"/>
        </w:numPr>
        <w:rPr>
          <w:rFonts w:ascii="Arial" w:hAnsi="Arial" w:cs="Arial"/>
          <w:sz w:val="22"/>
        </w:rPr>
      </w:pPr>
      <w:r>
        <w:rPr>
          <w:rFonts w:cs="Arial" w:ascii="Arial" w:hAnsi="Arial"/>
          <w:b/>
          <w:i/>
          <w:sz w:val="22"/>
        </w:rPr>
        <w:t>Ontario Business Leaders Contact Program</w:t>
      </w:r>
      <w:r>
        <w:rPr>
          <w:rFonts w:cs="Arial" w:ascii="Arial" w:hAnsi="Arial"/>
          <w:i/>
          <w:sz w:val="22"/>
        </w:rPr>
        <w:t xml:space="preserve"> </w:t>
      </w:r>
      <w:r>
        <w:rPr>
          <w:rFonts w:cs="Arial" w:ascii="Arial" w:hAnsi="Arial"/>
          <w:sz w:val="22"/>
        </w:rPr>
        <w:t xml:space="preserve">– GPC will develop a contact program designed to put you in touch with key Ontario business leaders including but not limited to the natural resources, manufacturing, chemical and automotive sectors. The purpose of this program will be to establish a positive profile for Enron while also reassuring these key stakeholders of the benefits of market opening. </w:t>
      </w:r>
    </w:p>
    <w:p>
      <w:pPr>
        <w:pStyle w:val="Normal"/>
        <w:ind w:start="360" w:end="0"/>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In developing the key contacts list GPC would first like to consult with Enron’s current Ontario sales and marketing teams in order to ensure a focused and targeted effort.</w:t>
      </w:r>
    </w:p>
    <w:p>
      <w:pPr>
        <w:pStyle w:val="Normal"/>
        <w:rPr>
          <w:rFonts w:ascii="Arial" w:hAnsi="Arial" w:cs="Arial"/>
          <w:sz w:val="22"/>
        </w:rPr>
      </w:pPr>
      <w:r>
        <w:rPr>
          <w:rFonts w:cs="Arial" w:ascii="Arial" w:hAnsi="Arial"/>
          <w:sz w:val="22"/>
        </w:rPr>
      </w:r>
    </w:p>
    <w:p>
      <w:pPr>
        <w:pStyle w:val="Header"/>
        <w:numPr>
          <w:ilvl w:val="0"/>
          <w:numId w:val="13"/>
        </w:numPr>
        <w:tabs>
          <w:tab w:val="clear" w:pos="4320"/>
          <w:tab w:val="clear" w:pos="8640"/>
        </w:tabs>
        <w:rPr>
          <w:rFonts w:ascii="Arial" w:hAnsi="Arial" w:cs="Arial"/>
          <w:sz w:val="22"/>
        </w:rPr>
      </w:pPr>
      <w:r>
        <w:rPr>
          <w:rFonts w:cs="Arial" w:ascii="Arial" w:hAnsi="Arial"/>
          <w:b/>
          <w:i/>
          <w:sz w:val="22"/>
        </w:rPr>
        <w:t>Ontario Regulatory Contact Program (OEB, IMO, MEST)</w:t>
      </w:r>
      <w:r>
        <w:rPr>
          <w:rFonts w:cs="Arial" w:ascii="Arial" w:hAnsi="Arial"/>
          <w:sz w:val="22"/>
        </w:rPr>
        <w:t xml:space="preserve"> – GPC will initiate and maintain regular communications with the following regulatory and bureaucratic contacts for monitoring purposes. This will be important in helping us to obtain information about new developments and providing our contacts with regular updates on the deregulation initiative. It will also provide Enron with another source of information and perspective in evaluating OEB, IMO or MEST decisions. </w:t>
      </w:r>
    </w:p>
    <w:p>
      <w:pPr>
        <w:pStyle w:val="Normal"/>
        <w:rPr>
          <w:rFonts w:ascii="Arial" w:hAnsi="Arial" w:cs="Arial"/>
          <w:sz w:val="22"/>
        </w:rPr>
      </w:pPr>
      <w:r>
        <w:rPr>
          <w:rFonts w:cs="Arial" w:ascii="Arial" w:hAnsi="Arial"/>
          <w:sz w:val="22"/>
        </w:rPr>
      </w:r>
    </w:p>
    <w:tbl>
      <w:tblPr>
        <w:tblW w:w="9409" w:type="dxa"/>
        <w:jc w:val="start"/>
        <w:tblInd w:w="0" w:type="dxa"/>
        <w:tblLayout w:type="fixed"/>
        <w:tblCellMar>
          <w:top w:w="0" w:type="dxa"/>
          <w:start w:w="108" w:type="dxa"/>
          <w:bottom w:w="0" w:type="dxa"/>
          <w:end w:w="108" w:type="dxa"/>
        </w:tblCellMar>
      </w:tblPr>
      <w:tblGrid>
        <w:gridCol w:w="1927"/>
        <w:gridCol w:w="1211"/>
        <w:gridCol w:w="2761"/>
        <w:gridCol w:w="1583"/>
        <w:gridCol w:w="1927"/>
      </w:tblGrid>
      <w:tr>
        <w:trPr/>
        <w:tc>
          <w:tcPr>
            <w:tcW w:w="1927"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 xml:space="preserve">Contact Name </w:t>
            </w:r>
          </w:p>
        </w:tc>
        <w:tc>
          <w:tcPr>
            <w:tcW w:w="1211"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 xml:space="preserve">Telephone </w:t>
            </w:r>
          </w:p>
        </w:tc>
        <w:tc>
          <w:tcPr>
            <w:tcW w:w="2761"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Rationale</w:t>
            </w:r>
          </w:p>
        </w:tc>
        <w:tc>
          <w:tcPr>
            <w:tcW w:w="1583"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Date of Contact</w:t>
            </w:r>
          </w:p>
        </w:tc>
        <w:tc>
          <w:tcPr>
            <w:tcW w:w="1927" w:type="dxa"/>
            <w:tcBorders>
              <w:top w:val="single" w:sz="4" w:space="0" w:color="000000"/>
              <w:start w:val="single" w:sz="4" w:space="0" w:color="000000"/>
              <w:bottom w:val="single" w:sz="4" w:space="0" w:color="000000"/>
              <w:end w:val="single" w:sz="4" w:space="0" w:color="000000"/>
            </w:tcBorders>
            <w:shd w:fill="000000" w:val="clear"/>
          </w:tcPr>
          <w:p>
            <w:pPr>
              <w:pStyle w:val="Normal"/>
              <w:rPr>
                <w:color w:val="FFFFFF"/>
              </w:rPr>
            </w:pPr>
            <w:r>
              <w:rPr>
                <w:color w:val="FFFFFF"/>
              </w:rPr>
              <w:t>Representatives</w:t>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Floyd Laughren</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Chairperson OEB</w:t>
            </w:r>
          </w:p>
        </w:tc>
        <w:tc>
          <w:tcPr>
            <w:tcW w:w="15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Anne Powell</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Director Licensing OEB</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Jay Young</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GM OEB</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George Dominy</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Vice Chair OEB</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end w:val="single" w:sz="4" w:space="0" w:color="000000"/>
            </w:tcBorders>
          </w:tcPr>
          <w:p>
            <w:pPr>
              <w:pStyle w:val="Normal"/>
              <w:rPr/>
            </w:pPr>
            <w:r>
              <w:rPr/>
              <w:t>Paul Vlahos</w:t>
            </w:r>
          </w:p>
        </w:tc>
        <w:tc>
          <w:tcPr>
            <w:tcW w:w="1211" w:type="dxa"/>
            <w:tcBorders>
              <w:top w:val="single" w:sz="4" w:space="0" w:color="000000"/>
              <w:start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end w:val="single" w:sz="4" w:space="0" w:color="000000"/>
            </w:tcBorders>
          </w:tcPr>
          <w:p>
            <w:pPr>
              <w:pStyle w:val="Normal"/>
              <w:rPr/>
            </w:pPr>
            <w:r>
              <w:rPr/>
              <w:t>Vice Chair OEB</w:t>
            </w:r>
          </w:p>
        </w:tc>
        <w:tc>
          <w:tcPr>
            <w:tcW w:w="1583"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1211"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1583" w:type="dxa"/>
            <w:tcBorders>
              <w:top w:val="single" w:sz="4" w:space="0" w:color="000000"/>
              <w:start w:val="single" w:sz="4" w:space="0" w:color="000000"/>
              <w:bottom w:val="single" w:sz="4" w:space="0" w:color="000000"/>
              <w:end w:val="single" w:sz="4" w:space="0" w:color="000000"/>
            </w:tcBorders>
            <w:shd w:fill="B2B2B2" w:val="clear"/>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Dave Goulding</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President &amp; CEO IMO</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Paul Murphy</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COO IMO</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end w:val="single" w:sz="4" w:space="0" w:color="000000"/>
            </w:tcBorders>
          </w:tcPr>
          <w:p>
            <w:pPr>
              <w:pStyle w:val="Normal"/>
              <w:rPr/>
            </w:pPr>
            <w:r>
              <w:rPr/>
              <w:t>Bruce Campbell</w:t>
            </w:r>
          </w:p>
        </w:tc>
        <w:tc>
          <w:tcPr>
            <w:tcW w:w="1211" w:type="dxa"/>
            <w:tcBorders>
              <w:top w:val="single" w:sz="4" w:space="0" w:color="000000"/>
              <w:start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end w:val="single" w:sz="4" w:space="0" w:color="000000"/>
            </w:tcBorders>
          </w:tcPr>
          <w:p>
            <w:pPr>
              <w:pStyle w:val="Normal"/>
              <w:rPr/>
            </w:pPr>
            <w:r>
              <w:rPr/>
              <w:t>VP Corp &amp; Legal Affairs IMO</w:t>
            </w:r>
          </w:p>
        </w:tc>
        <w:tc>
          <w:tcPr>
            <w:tcW w:w="1583"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1211"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c>
          <w:tcPr>
            <w:tcW w:w="1583" w:type="dxa"/>
            <w:tcBorders>
              <w:top w:val="single" w:sz="4" w:space="0" w:color="000000"/>
              <w:start w:val="single" w:sz="4" w:space="0" w:color="000000"/>
              <w:bottom w:val="single" w:sz="4" w:space="0" w:color="000000"/>
              <w:end w:val="single" w:sz="4" w:space="0" w:color="000000"/>
            </w:tcBorders>
            <w:shd w:fill="B2B2B2" w:val="clear"/>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shd w:fill="B2B2B2" w:val="clear"/>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Bryne Purchase</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DM MEST</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27" w:type="dxa"/>
            <w:tcBorders>
              <w:top w:val="single" w:sz="4" w:space="0" w:color="000000"/>
              <w:start w:val="single" w:sz="4" w:space="0" w:color="000000"/>
              <w:bottom w:val="single" w:sz="4" w:space="0" w:color="000000"/>
              <w:end w:val="single" w:sz="4" w:space="0" w:color="000000"/>
            </w:tcBorders>
          </w:tcPr>
          <w:p>
            <w:pPr>
              <w:pStyle w:val="Normal"/>
              <w:rPr/>
            </w:pPr>
            <w:r>
              <w:rPr/>
              <w:t>Judy Hubert</w:t>
            </w:r>
          </w:p>
        </w:tc>
        <w:tc>
          <w:tcPr>
            <w:tcW w:w="121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61" w:type="dxa"/>
            <w:tcBorders>
              <w:top w:val="single" w:sz="4" w:space="0" w:color="000000"/>
              <w:start w:val="single" w:sz="4" w:space="0" w:color="000000"/>
              <w:bottom w:val="single" w:sz="4" w:space="0" w:color="000000"/>
              <w:end w:val="single" w:sz="4" w:space="0" w:color="000000"/>
            </w:tcBorders>
          </w:tcPr>
          <w:p>
            <w:pPr>
              <w:pStyle w:val="Normal"/>
              <w:rPr/>
            </w:pPr>
            <w:r>
              <w:rPr/>
              <w:t>ADM MEST</w:t>
            </w:r>
          </w:p>
        </w:tc>
        <w:tc>
          <w:tcPr>
            <w:tcW w:w="158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192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Coalition Building</w:t>
      </w:r>
    </w:p>
    <w:p>
      <w:pPr>
        <w:pStyle w:val="Normal"/>
        <w:rPr>
          <w:rFonts w:ascii="Arial" w:hAnsi="Arial" w:cs="Arial"/>
          <w:b/>
          <w:sz w:val="22"/>
        </w:rPr>
      </w:pPr>
      <w:r>
        <w:rPr>
          <w:rFonts w:cs="Arial" w:ascii="Arial" w:hAnsi="Arial"/>
          <w:b/>
          <w:sz w:val="22"/>
        </w:rPr>
      </w:r>
    </w:p>
    <w:p>
      <w:pPr>
        <w:pStyle w:val="BodyText2"/>
        <w:rPr/>
      </w:pPr>
      <w:r>
        <w:rPr/>
        <w:t xml:space="preserve">GPC will undertake efforts to develop an informal coalition in support of market opening. This coordinated effort will ensure consistent and constant communications with key decision-makers, while signaling that a further delay in opening the market would have significant negative consequences. The next five months will be a critical period in the development of the Ontario market as the LDC’s finalize their system implementation and testing initiatives, and the OEB and IMO prepare their recommendation on market readiness for the Minister of Energy, Science and Technology. Ensuring a consistent and constant message supporting a May 2002 launch will be critical during this period of time. </w:t>
      </w:r>
    </w:p>
    <w:p>
      <w:pPr>
        <w:pStyle w:val="BodyText2"/>
        <w:rPr/>
      </w:pPr>
      <w:r>
        <w:rPr/>
      </w:r>
    </w:p>
    <w:p>
      <w:pPr>
        <w:pStyle w:val="BodyText2"/>
        <w:rPr/>
      </w:pPr>
      <w:r>
        <w:rPr/>
        <w:t>The development of a coalition will also provide additional resources and support for future advertising or public relations campaigns in support of the market  opening initiative.</w:t>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Regional major media market tour</w:t>
      </w:r>
    </w:p>
    <w:p>
      <w:pPr>
        <w:pStyle w:val="Normal"/>
        <w:rPr>
          <w:rFonts w:ascii="Arial" w:hAnsi="Arial" w:cs="Arial"/>
          <w:b/>
          <w:sz w:val="22"/>
        </w:rPr>
      </w:pPr>
      <w:r>
        <w:rPr>
          <w:rFonts w:cs="Arial" w:ascii="Arial" w:hAnsi="Arial"/>
          <w:b/>
          <w:sz w:val="22"/>
        </w:rPr>
      </w:r>
    </w:p>
    <w:p>
      <w:pPr>
        <w:pStyle w:val="Normal"/>
        <w:numPr>
          <w:ilvl w:val="0"/>
          <w:numId w:val="6"/>
        </w:numPr>
        <w:rPr>
          <w:rFonts w:ascii="Arial" w:hAnsi="Arial" w:cs="Arial"/>
          <w:sz w:val="22"/>
        </w:rPr>
      </w:pPr>
      <w:r>
        <w:rPr>
          <w:rFonts w:cs="Arial" w:ascii="Arial" w:hAnsi="Arial"/>
          <w:sz w:val="22"/>
        </w:rPr>
        <w:t>Targets key Ontario regional media markets for maximum geographic coverage:</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Ottawa</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Kingston/Peterborough</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Hamilton</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Kitchener-Waterloo</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Thunder Bay</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 xml:space="preserve">London </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Windsor/Sarnia</w:t>
      </w:r>
    </w:p>
    <w:p>
      <w:pPr>
        <w:pStyle w:val="Normal"/>
        <w:numPr>
          <w:ilvl w:val="0"/>
          <w:numId w:val="25"/>
        </w:numPr>
        <w:rPr>
          <w:rFonts w:ascii="Arial" w:hAnsi="Arial" w:cs="Arial"/>
          <w:sz w:val="22"/>
        </w:rPr>
      </w:pPr>
      <w:r>
        <w:rPr>
          <w:rFonts w:cs="Arial" w:ascii="Arial" w:hAnsi="Arial"/>
          <w:sz w:val="22"/>
        </w:rPr>
        <w:t>Program to solicit complete spectrum of earned media opportunities: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daily newspaper editorial board meetings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print/radio/TV reporter interviews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op-ed articles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columnist/feature/beat reporter one-on-ones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local market TV current affairs programs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radio/TV/cable phone-in shows</w:t>
      </w:r>
    </w:p>
    <w:p>
      <w:pPr>
        <w:pStyle w:val="Normal"/>
        <w:numPr>
          <w:ilvl w:val="0"/>
          <w:numId w:val="26"/>
        </w:numPr>
        <w:tabs>
          <w:tab w:val="left" w:pos="720" w:leader="none"/>
        </w:tabs>
        <w:ind w:hanging="360" w:start="720" w:end="0"/>
        <w:rPr>
          <w:rFonts w:ascii="Arial" w:hAnsi="Arial" w:cs="Arial"/>
          <w:sz w:val="22"/>
        </w:rPr>
      </w:pPr>
      <w:r>
        <w:rPr>
          <w:rFonts w:cs="Arial" w:ascii="Arial" w:hAnsi="Arial"/>
          <w:sz w:val="22"/>
        </w:rPr>
        <w:t>service club presentations</w:t>
      </w:r>
    </w:p>
    <w:p>
      <w:pPr>
        <w:pStyle w:val="Normal"/>
        <w:rPr>
          <w:rFonts w:ascii="Arial" w:hAnsi="Arial" w:cs="Arial"/>
          <w:sz w:val="22"/>
        </w:rPr>
      </w:pPr>
      <w:r>
        <w:rPr>
          <w:rFonts w:cs="Arial" w:ascii="Arial" w:hAnsi="Arial"/>
          <w:sz w:val="22"/>
        </w:rPr>
      </w:r>
    </w:p>
    <w:p>
      <w:pPr>
        <w:pStyle w:val="Normal"/>
        <w:numPr>
          <w:ilvl w:val="0"/>
          <w:numId w:val="9"/>
        </w:numPr>
        <w:rPr>
          <w:rFonts w:ascii="Arial" w:hAnsi="Arial" w:cs="Arial"/>
          <w:b/>
          <w:sz w:val="22"/>
        </w:rPr>
      </w:pPr>
      <w:r>
        <w:rPr>
          <w:rFonts w:cs="Arial" w:ascii="Arial" w:hAnsi="Arial"/>
          <w:b/>
          <w:sz w:val="22"/>
        </w:rPr>
        <w:t>Intensified Toronto-based business media solicitation</w:t>
      </w:r>
    </w:p>
    <w:p>
      <w:pPr>
        <w:pStyle w:val="Normal"/>
        <w:rPr>
          <w:rFonts w:ascii="Arial" w:hAnsi="Arial" w:cs="Arial"/>
          <w:b/>
          <w:sz w:val="22"/>
        </w:rPr>
      </w:pPr>
      <w:r>
        <w:rPr>
          <w:rFonts w:cs="Arial" w:ascii="Arial" w:hAnsi="Arial"/>
          <w:b/>
          <w:sz w:val="22"/>
        </w:rPr>
      </w:r>
    </w:p>
    <w:p>
      <w:pPr>
        <w:pStyle w:val="Normal"/>
        <w:numPr>
          <w:ilvl w:val="0"/>
          <w:numId w:val="22"/>
        </w:numPr>
        <w:rPr>
          <w:rFonts w:ascii="Arial" w:hAnsi="Arial" w:cs="Arial"/>
          <w:sz w:val="22"/>
        </w:rPr>
      </w:pPr>
      <w:r>
        <w:rPr>
          <w:rFonts w:cs="Arial" w:ascii="Arial" w:hAnsi="Arial"/>
          <w:sz w:val="22"/>
        </w:rPr>
        <w:t>Editorial Board meetings with Globe and Mail, National Post, Toronto Star</w:t>
      </w:r>
    </w:p>
    <w:p>
      <w:pPr>
        <w:pStyle w:val="Normal"/>
        <w:numPr>
          <w:ilvl w:val="0"/>
          <w:numId w:val="22"/>
        </w:numPr>
        <w:rPr>
          <w:rFonts w:ascii="Arial" w:hAnsi="Arial" w:cs="Arial"/>
          <w:sz w:val="22"/>
        </w:rPr>
      </w:pPr>
      <w:r>
        <w:rPr>
          <w:rFonts w:cs="Arial" w:ascii="Arial" w:hAnsi="Arial"/>
          <w:sz w:val="22"/>
        </w:rPr>
        <w:t>Appearances on key national TV business programs (CBC Newsworld, CTV News Net, CP-24, RoB-TV)</w:t>
      </w:r>
    </w:p>
    <w:p>
      <w:pPr>
        <w:pStyle w:val="Normal"/>
        <w:numPr>
          <w:ilvl w:val="0"/>
          <w:numId w:val="22"/>
        </w:numPr>
        <w:rPr>
          <w:rFonts w:ascii="Arial" w:hAnsi="Arial" w:cs="Arial"/>
          <w:sz w:val="22"/>
        </w:rPr>
      </w:pPr>
      <w:r>
        <w:rPr>
          <w:rFonts w:cs="Arial" w:ascii="Arial" w:hAnsi="Arial"/>
          <w:sz w:val="22"/>
        </w:rPr>
        <w:t>Speaking opportunities at major venues (Board of Trade, Canadian Club, Empire Club)</w:t>
      </w:r>
    </w:p>
    <w:p>
      <w:pPr>
        <w:pStyle w:val="Normal"/>
        <w:rPr>
          <w:rFonts w:ascii="Arial" w:hAnsi="Arial" w:cs="Arial"/>
          <w:b/>
          <w:sz w:val="22"/>
        </w:rPr>
      </w:pPr>
      <w:r>
        <w:rPr>
          <w:rFonts w:cs="Arial" w:ascii="Arial" w:hAnsi="Arial"/>
          <w:b/>
          <w:sz w:val="22"/>
        </w:rPr>
      </w:r>
    </w:p>
    <w:p>
      <w:pPr>
        <w:pStyle w:val="Normal"/>
        <w:numPr>
          <w:ilvl w:val="0"/>
          <w:numId w:val="9"/>
        </w:numPr>
        <w:rPr>
          <w:rFonts w:ascii="Arial" w:hAnsi="Arial" w:cs="Arial"/>
          <w:b/>
          <w:sz w:val="22"/>
        </w:rPr>
      </w:pPr>
      <w:r>
        <w:rPr>
          <w:rFonts w:cs="Arial" w:ascii="Arial" w:hAnsi="Arial"/>
          <w:b/>
          <w:sz w:val="22"/>
        </w:rPr>
        <w:t>Media monitoring and quick response capability</w:t>
      </w:r>
    </w:p>
    <w:p>
      <w:pPr>
        <w:pStyle w:val="Normal"/>
        <w:rPr>
          <w:rFonts w:ascii="Arial" w:hAnsi="Arial" w:cs="Arial"/>
          <w:b/>
          <w:sz w:val="22"/>
        </w:rPr>
      </w:pPr>
      <w:r>
        <w:rPr>
          <w:rFonts w:cs="Arial" w:ascii="Arial" w:hAnsi="Arial"/>
          <w:b/>
          <w:sz w:val="22"/>
        </w:rPr>
      </w:r>
    </w:p>
    <w:p>
      <w:pPr>
        <w:pStyle w:val="Normal"/>
        <w:numPr>
          <w:ilvl w:val="0"/>
          <w:numId w:val="8"/>
        </w:numPr>
        <w:rPr>
          <w:rFonts w:ascii="Arial" w:hAnsi="Arial" w:cs="Arial"/>
          <w:sz w:val="22"/>
        </w:rPr>
      </w:pPr>
      <w:r>
        <w:rPr>
          <w:rFonts w:cs="Arial" w:ascii="Arial" w:hAnsi="Arial"/>
          <w:sz w:val="22"/>
        </w:rPr>
        <w:t>Daily collection and analysis of key media hits and related references</w:t>
      </w:r>
    </w:p>
    <w:p>
      <w:pPr>
        <w:pStyle w:val="Normal"/>
        <w:numPr>
          <w:ilvl w:val="0"/>
          <w:numId w:val="8"/>
        </w:numPr>
        <w:rPr>
          <w:rFonts w:ascii="Arial" w:hAnsi="Arial" w:cs="Arial"/>
          <w:sz w:val="22"/>
        </w:rPr>
      </w:pPr>
      <w:r>
        <w:rPr>
          <w:rFonts w:cs="Arial" w:ascii="Arial" w:hAnsi="Arial"/>
          <w:sz w:val="22"/>
        </w:rPr>
        <w:t>Daily qualitative report on coverage and key message placement</w:t>
      </w:r>
    </w:p>
    <w:p>
      <w:pPr>
        <w:pStyle w:val="Normal"/>
        <w:numPr>
          <w:ilvl w:val="0"/>
          <w:numId w:val="8"/>
        </w:numPr>
        <w:rPr>
          <w:rFonts w:ascii="Arial" w:hAnsi="Arial" w:cs="Arial"/>
          <w:sz w:val="22"/>
        </w:rPr>
      </w:pPr>
      <w:r>
        <w:rPr>
          <w:rFonts w:cs="Arial" w:ascii="Arial" w:hAnsi="Arial"/>
          <w:sz w:val="22"/>
        </w:rPr>
        <w:t>Recommendations for immediate response/rebuttals where required</w:t>
      </w:r>
    </w:p>
    <w:sectPr>
      <w:headerReference w:type="default" r:id="rId2"/>
      <w:headerReference w:type="first" r:id="rId3"/>
      <w:footerReference w:type="default" r:id="rId4"/>
      <w:footerReference w:type="first" r:id="rId5"/>
      <w:type w:val="nextPage"/>
      <w:pgSz w:w="12240" w:h="15840"/>
      <w:pgMar w:left="1380" w:right="1440" w:gutter="0" w:header="720" w:top="2880" w:footer="720" w:bottom="13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rPr/>
    </w:pPr>
    <w:r>
      <w:rPr>
        <w:rStyle w:val="PageNumber"/>
        <w:sz w:val="24"/>
      </w:rPr>
      <w:tab/>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11">
              <wp:simplePos x="0" y="0"/>
              <wp:positionH relativeFrom="page">
                <wp:posOffset>5389245</wp:posOffset>
              </wp:positionH>
              <wp:positionV relativeFrom="page">
                <wp:posOffset>9729470</wp:posOffset>
              </wp:positionV>
              <wp:extent cx="1554480" cy="182880"/>
              <wp:effectExtent l="0" t="0" r="0" b="0"/>
              <wp:wrapNone/>
              <wp:docPr id="7" name="Frame3"/>
              <a:graphic xmlns:a="http://schemas.openxmlformats.org/drawingml/2006/main">
                <a:graphicData uri="http://schemas.microsoft.com/office/word/2010/wordprocessingShape">
                  <wps:wsp>
                    <wps:cNvSpPr txBox="1"/>
                    <wps:spPr>
                      <a:xfrm>
                        <a:off x="0" y="0"/>
                        <a:ext cx="1554480" cy="182880"/>
                      </a:xfrm>
                      <a:prstGeom prst="rect"/>
                      <a:solidFill>
                        <a:srgbClr val="FFFFFF"/>
                      </a:solidFill>
                    </wps:spPr>
                    <wps:txbx>
                      <w:txbxContent>
                        <w:p>
                          <w:pPr>
                            <w:pStyle w:val="Normal"/>
                            <w:jc w:val="end"/>
                            <w:rPr>
                              <w:rFonts w:ascii="Arial Narrow" w:hAnsi="Arial Narrow" w:cs="Arial Narrow"/>
                              <w:sz w:val="16"/>
                            </w:rPr>
                          </w:pPr>
                          <w:r>
                            <w:rPr>
                              <w:rFonts w:cs="Arial Narrow" w:ascii="Arial Narrow" w:hAnsi="Arial Narrow"/>
                              <w:sz w:val="16"/>
                            </w:rPr>
                            <w:t>A Fleishman-Hillard Company</w:t>
                          </w:r>
                        </w:p>
                      </w:txbxContent>
                    </wps:txbx>
                    <wps:bodyPr anchor="t" lIns="635" tIns="635" rIns="635" bIns="635">
                      <a:noAutofit/>
                    </wps:bodyPr>
                  </wps:wsp>
                </a:graphicData>
              </a:graphic>
            </wp:anchor>
          </w:drawing>
        </mc:Choice>
        <mc:Fallback>
          <w:pict>
            <v:rect fillcolor="#FFFFFF" style="position:absolute;rotation:-0;width:122.4pt;height:14.4pt;mso-wrap-distance-left:9.05pt;mso-wrap-distance-right:9.05pt;mso-wrap-distance-top:0pt;mso-wrap-distance-bottom:0pt;margin-top:766.1pt;mso-position-vertical-relative:page;margin-left:424.35pt;mso-position-horizontal-relative:page">
              <v:textbox inset="0.000694444444444445in,0.000694444444444445in,0.000694444444444445in,0.000694444444444445in">
                <w:txbxContent>
                  <w:p>
                    <w:pPr>
                      <w:pStyle w:val="Normal"/>
                      <w:jc w:val="end"/>
                      <w:rPr>
                        <w:rFonts w:ascii="Arial Narrow" w:hAnsi="Arial Narrow" w:cs="Arial Narrow"/>
                        <w:sz w:val="16"/>
                      </w:rPr>
                    </w:pPr>
                    <w:r>
                      <w:rPr>
                        <w:rFonts w:cs="Arial Narrow" w:ascii="Arial Narrow" w:hAnsi="Arial Narrow"/>
                        <w:sz w:val="16"/>
                      </w:rPr>
                      <w:t>A Fleishman-Hillard Company</w:t>
                    </w:r>
                  </w:p>
                </w:txbxContent>
              </v:textbox>
              <w10:wrap type="none"/>
            </v:rect>
          </w:pict>
        </mc:Fallback>
      </mc:AlternateContent>
    </w:r>
    <w:r>
      <mc:AlternateContent>
        <mc:Choice Requires="wps">
          <w:drawing>
            <wp:anchor behindDoc="1" distT="0" distB="0" distL="114935" distR="114935" simplePos="0" locked="0" layoutInCell="1" allowOverlap="1" relativeHeight="12">
              <wp:simplePos x="0" y="0"/>
              <wp:positionH relativeFrom="column">
                <wp:posOffset>-106680</wp:posOffset>
              </wp:positionH>
              <wp:positionV relativeFrom="page">
                <wp:posOffset>9441180</wp:posOffset>
              </wp:positionV>
              <wp:extent cx="6362700" cy="251460"/>
              <wp:effectExtent l="0" t="0" r="0" b="0"/>
              <wp:wrapNone/>
              <wp:docPr id="8" name="Frame2"/>
              <a:graphic xmlns:a="http://schemas.openxmlformats.org/drawingml/2006/main">
                <a:graphicData uri="http://schemas.microsoft.com/office/word/2010/wordprocessingShape">
                  <wps:wsp>
                    <wps:cNvSpPr txBox="1"/>
                    <wps:spPr>
                      <a:xfrm>
                        <a:off x="0" y="0"/>
                        <a:ext cx="6362700" cy="251460"/>
                      </a:xfrm>
                      <a:prstGeom prst="rect"/>
                      <a:solidFill>
                        <a:srgbClr val="FFFFFF"/>
                      </a:solidFill>
                    </wps:spPr>
                    <wps:txbx>
                      <w:txbxContent>
                        <w:p>
                          <w:pPr>
                            <w:pStyle w:val="Normal"/>
                            <w:rPr>
                              <w:rFonts w:ascii="Arial Narrow" w:hAnsi="Arial Narrow" w:cs="Arial Narrow"/>
                              <w:sz w:val="16"/>
                            </w:rPr>
                          </w:pPr>
                          <w:r>
                            <w:rPr>
                              <w:rFonts w:cs="Arial Narrow" w:ascii="Arial Narrow" w:hAnsi="Arial Narrow"/>
                              <w:sz w:val="16"/>
                            </w:rPr>
                            <w:t>USA                                       Canada                                      Europe                                      Asia                                      Latin America                                      Africa</w:t>
                          </w:r>
                        </w:p>
                      </w:txbxContent>
                    </wps:txbx>
                    <wps:bodyPr anchor="t" lIns="92075" tIns="46355" rIns="92075" bIns="46355">
                      <a:noAutofit/>
                    </wps:bodyPr>
                  </wps:wsp>
                </a:graphicData>
              </a:graphic>
            </wp:anchor>
          </w:drawing>
        </mc:Choice>
        <mc:Fallback>
          <w:pict>
            <v:rect fillcolor="#FFFFFF" style="position:absolute;rotation:-0;width:501pt;height:19.8pt;mso-wrap-distance-left:9.05pt;mso-wrap-distance-right:9.05pt;mso-wrap-distance-top:0pt;mso-wrap-distance-bottom:0pt;margin-top:743.4pt;mso-position-vertical-relative:page;margin-left:-8.4pt;mso-position-horizontal-relative:text">
              <v:textbox inset="0.100694444444444in,0.0506944444444444in,0.100694444444444in,0.0506944444444444in">
                <w:txbxContent>
                  <w:p>
                    <w:pPr>
                      <w:pStyle w:val="Normal"/>
                      <w:rPr>
                        <w:rFonts w:ascii="Arial Narrow" w:hAnsi="Arial Narrow" w:cs="Arial Narrow"/>
                        <w:sz w:val="16"/>
                      </w:rPr>
                    </w:pPr>
                    <w:r>
                      <w:rPr>
                        <w:rFonts w:cs="Arial Narrow" w:ascii="Arial Narrow" w:hAnsi="Arial Narrow"/>
                        <w:sz w:val="16"/>
                      </w:rPr>
                      <w:t>USA                                       Canada                                      Europe                                      Asia                                      Latin America                                      Africa</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10">
              <wp:simplePos x="0" y="0"/>
              <wp:positionH relativeFrom="page">
                <wp:posOffset>876300</wp:posOffset>
              </wp:positionH>
              <wp:positionV relativeFrom="page">
                <wp:posOffset>754380</wp:posOffset>
              </wp:positionV>
              <wp:extent cx="1775460" cy="342900"/>
              <wp:effectExtent l="0" t="0" r="0" b="0"/>
              <wp:wrapNone/>
              <wp:docPr id="2" name="Frame7"/>
              <a:graphic xmlns:a="http://schemas.openxmlformats.org/drawingml/2006/main">
                <a:graphicData uri="http://schemas.microsoft.com/office/word/2010/wordprocessingShape">
                  <wps:wsp>
                    <wps:cNvSpPr txBox="1"/>
                    <wps:spPr>
                      <a:xfrm>
                        <a:off x="0" y="0"/>
                        <a:ext cx="1775460" cy="342900"/>
                      </a:xfrm>
                      <a:prstGeom prst="rect"/>
                      <a:solidFill>
                        <a:srgbClr val="FFFFFF"/>
                      </a:solidFill>
                    </wps:spPr>
                    <wps:txbx>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wps:txbx>
                    <wps:bodyPr anchor="t" lIns="635" tIns="46355" rIns="92075" bIns="46355">
                      <a:noAutofit/>
                    </wps:bodyPr>
                  </wps:wsp>
                </a:graphicData>
              </a:graphic>
            </wp:anchor>
          </w:drawing>
        </mc:Choice>
        <mc:Fallback>
          <w:pict>
            <v:rect fillcolor="#FFFFFF" style="position:absolute;rotation:-0;width:139.8pt;height:27pt;mso-wrap-distance-left:9.05pt;mso-wrap-distance-right:9.05pt;mso-wrap-distance-top:0pt;mso-wrap-distance-bottom:0pt;margin-top:59.4pt;mso-position-vertical-relative:page;margin-left:69pt;mso-position-horizontal-relative:page">
              <v:textbox inset="0.000694444444444445in,0.0506944444444444in,0.100694444444444in,0.0506944444444444in">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13">
          <wp:simplePos x="0" y="0"/>
          <wp:positionH relativeFrom="page">
            <wp:posOffset>575945</wp:posOffset>
          </wp:positionH>
          <wp:positionV relativeFrom="page">
            <wp:posOffset>521335</wp:posOffset>
          </wp:positionV>
          <wp:extent cx="758825" cy="62738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0" t="-61" r="-50" b="-61"/>
                  <a:stretch>
                    <a:fillRect/>
                  </a:stretch>
                </pic:blipFill>
                <pic:spPr bwMode="auto">
                  <a:xfrm>
                    <a:off x="0" y="0"/>
                    <a:ext cx="758825" cy="627380"/>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2">
              <wp:simplePos x="0" y="0"/>
              <wp:positionH relativeFrom="column">
                <wp:posOffset>850265</wp:posOffset>
              </wp:positionH>
              <wp:positionV relativeFrom="paragraph">
                <wp:posOffset>210820</wp:posOffset>
              </wp:positionV>
              <wp:extent cx="1839595" cy="342900"/>
              <wp:effectExtent l="0" t="0" r="0" b="0"/>
              <wp:wrapNone/>
              <wp:docPr id="4" name="Frame6"/>
              <a:graphic xmlns:a="http://schemas.openxmlformats.org/drawingml/2006/main">
                <a:graphicData uri="http://schemas.microsoft.com/office/word/2010/wordprocessingShape">
                  <wps:wsp>
                    <wps:cNvSpPr txBox="1"/>
                    <wps:spPr>
                      <a:xfrm>
                        <a:off x="0" y="0"/>
                        <a:ext cx="1839595" cy="342900"/>
                      </a:xfrm>
                      <a:prstGeom prst="rect"/>
                      <a:solidFill>
                        <a:srgbClr val="FFFFFF"/>
                      </a:solidFill>
                    </wps:spPr>
                    <wps:txbx>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wps:txbx>
                    <wps:bodyPr anchor="t" lIns="92075" tIns="46355" rIns="92075" bIns="46355">
                      <a:noAutofit/>
                    </wps:bodyPr>
                  </wps:wsp>
                </a:graphicData>
              </a:graphic>
            </wp:anchor>
          </w:drawing>
        </mc:Choice>
        <mc:Fallback>
          <w:pict>
            <v:rect fillcolor="#FFFFFF" style="position:absolute;rotation:-0;width:144.85pt;height:27pt;mso-wrap-distance-left:9.05pt;mso-wrap-distance-right:9.05pt;mso-wrap-distance-top:0pt;mso-wrap-distance-bottom:0pt;margin-top:16.6pt;mso-position-vertical-relative:text;margin-left:66.95pt;mso-position-horizontal-relative:text">
              <v:textbox inset="0.100694444444444in,0.0506944444444444in,0.100694444444444in,0.0506944444444444in">
                <w:txbxContent>
                  <w:p>
                    <w:pPr>
                      <w:pStyle w:val="Header"/>
                      <w:tabs>
                        <w:tab w:val="clear" w:pos="4320"/>
                        <w:tab w:val="clear" w:pos="8640"/>
                      </w:tabs>
                      <w:spacing w:lineRule="exact" w:line="200"/>
                      <w:rPr>
                        <w:rFonts w:ascii="Arial Black" w:hAnsi="Arial Black" w:cs="Arial Black"/>
                      </w:rPr>
                    </w:pPr>
                    <w:r>
                      <w:rPr>
                        <w:rFonts w:cs="Arial Black" w:ascii="Arial Black" w:hAnsi="Arial Black"/>
                      </w:rPr>
                      <w:t>GPC International</w:t>
                    </w:r>
                  </w:p>
                  <w:p>
                    <w:pPr>
                      <w:pStyle w:val="Heading2"/>
                      <w:spacing w:lineRule="exact" w:line="200"/>
                      <w:ind w:hanging="0" w:start="0"/>
                      <w:rPr>
                        <w:spacing w:val="10"/>
                      </w:rPr>
                    </w:pPr>
                    <w:r>
                      <w:rPr>
                        <w:spacing w:val="10"/>
                      </w:rPr>
                      <w:t>Public Affairs &amp; Communications</w:t>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3489960</wp:posOffset>
              </wp:positionH>
              <wp:positionV relativeFrom="paragraph">
                <wp:posOffset>350520</wp:posOffset>
              </wp:positionV>
              <wp:extent cx="1668780" cy="640080"/>
              <wp:effectExtent l="0" t="0" r="0" b="0"/>
              <wp:wrapNone/>
              <wp:docPr id="5" name="Frame4"/>
              <a:graphic xmlns:a="http://schemas.openxmlformats.org/drawingml/2006/main">
                <a:graphicData uri="http://schemas.microsoft.com/office/word/2010/wordprocessingShape">
                  <wps:wsp>
                    <wps:cNvSpPr txBox="1"/>
                    <wps:spPr>
                      <a:xfrm>
                        <a:off x="0" y="0"/>
                        <a:ext cx="1668780" cy="640080"/>
                      </a:xfrm>
                      <a:prstGeom prst="rect"/>
                      <a:solidFill>
                        <a:srgbClr val="FFFFFF"/>
                      </a:solidFill>
                    </wps:spPr>
                    <wps:txbx>
                      <w:txbxContent>
                        <w:p>
                          <w:pPr>
                            <w:pStyle w:val="Normal"/>
                            <w:spacing w:lineRule="exact" w:line="200"/>
                            <w:rPr>
                              <w:rFonts w:ascii="Times" w:hAnsi="Times" w:cs="Times"/>
                              <w:sz w:val="18"/>
                            </w:rPr>
                          </w:pPr>
                          <w:r>
                            <w:rPr>
                              <w:rFonts w:cs="Times" w:ascii="Times" w:hAnsi="Times"/>
                              <w:sz w:val="18"/>
                            </w:rPr>
                            <w:t>200 King Street West</w:t>
                          </w:r>
                        </w:p>
                        <w:p>
                          <w:pPr>
                            <w:pStyle w:val="Normal"/>
                            <w:spacing w:lineRule="exact" w:line="200"/>
                            <w:rPr>
                              <w:rFonts w:ascii="Times" w:hAnsi="Times" w:cs="Times"/>
                              <w:sz w:val="18"/>
                            </w:rPr>
                          </w:pPr>
                          <w:r>
                            <w:rPr>
                              <w:rFonts w:cs="Times" w:ascii="Times" w:hAnsi="Times"/>
                              <w:sz w:val="18"/>
                            </w:rPr>
                            <w:t>Suite 1702</w:t>
                          </w:r>
                        </w:p>
                        <w:p>
                          <w:pPr>
                            <w:pStyle w:val="Normal"/>
                            <w:spacing w:lineRule="exact" w:line="200"/>
                            <w:rPr>
                              <w:rFonts w:ascii="Times" w:hAnsi="Times" w:cs="Times"/>
                              <w:sz w:val="18"/>
                            </w:rPr>
                          </w:pPr>
                          <w:r>
                            <w:rPr>
                              <w:rFonts w:cs="Times" w:ascii="Times" w:hAnsi="Times"/>
                              <w:sz w:val="18"/>
                            </w:rPr>
                            <w:t>Toronto  ON   M5H 3T4</w:t>
                          </w:r>
                        </w:p>
                        <w:p>
                          <w:pPr>
                            <w:pStyle w:val="Normal"/>
                            <w:spacing w:lineRule="exact" w:line="200"/>
                            <w:rPr>
                              <w:rFonts w:ascii="Times" w:hAnsi="Times" w:cs="Times"/>
                              <w:sz w:val="18"/>
                            </w:rPr>
                          </w:pPr>
                          <w:r>
                            <w:rPr>
                              <w:rFonts w:cs="Times" w:ascii="Times" w:hAnsi="Times"/>
                              <w:sz w:val="18"/>
                            </w:rPr>
                            <w:t>Canada</w:t>
                          </w:r>
                        </w:p>
                      </w:txbxContent>
                    </wps:txbx>
                    <wps:bodyPr anchor="t" lIns="92075" tIns="46355" rIns="92075" bIns="46355">
                      <a:noAutofit/>
                    </wps:bodyPr>
                  </wps:wsp>
                </a:graphicData>
              </a:graphic>
            </wp:anchor>
          </w:drawing>
        </mc:Choice>
        <mc:Fallback>
          <w:pict>
            <v:rect fillcolor="#FFFFFF" style="position:absolute;rotation:-0;width:131.4pt;height:50.4pt;mso-wrap-distance-left:9.05pt;mso-wrap-distance-right:9.05pt;mso-wrap-distance-top:0pt;mso-wrap-distance-bottom:0pt;margin-top:27.6pt;mso-position-vertical-relative:text;margin-left:274.8pt;mso-position-horizontal-relative:text">
              <v:textbox inset="0.100694444444444in,0.0506944444444444in,0.100694444444444in,0.0506944444444444in">
                <w:txbxContent>
                  <w:p>
                    <w:pPr>
                      <w:pStyle w:val="Normal"/>
                      <w:spacing w:lineRule="exact" w:line="200"/>
                      <w:rPr>
                        <w:rFonts w:ascii="Times" w:hAnsi="Times" w:cs="Times"/>
                        <w:sz w:val="18"/>
                      </w:rPr>
                    </w:pPr>
                    <w:r>
                      <w:rPr>
                        <w:rFonts w:cs="Times" w:ascii="Times" w:hAnsi="Times"/>
                        <w:sz w:val="18"/>
                      </w:rPr>
                      <w:t>200 King Street West</w:t>
                    </w:r>
                  </w:p>
                  <w:p>
                    <w:pPr>
                      <w:pStyle w:val="Normal"/>
                      <w:spacing w:lineRule="exact" w:line="200"/>
                      <w:rPr>
                        <w:rFonts w:ascii="Times" w:hAnsi="Times" w:cs="Times"/>
                        <w:sz w:val="18"/>
                      </w:rPr>
                    </w:pPr>
                    <w:r>
                      <w:rPr>
                        <w:rFonts w:cs="Times" w:ascii="Times" w:hAnsi="Times"/>
                        <w:sz w:val="18"/>
                      </w:rPr>
                      <w:t>Suite 1702</w:t>
                    </w:r>
                  </w:p>
                  <w:p>
                    <w:pPr>
                      <w:pStyle w:val="Normal"/>
                      <w:spacing w:lineRule="exact" w:line="200"/>
                      <w:rPr>
                        <w:rFonts w:ascii="Times" w:hAnsi="Times" w:cs="Times"/>
                        <w:sz w:val="18"/>
                      </w:rPr>
                    </w:pPr>
                    <w:r>
                      <w:rPr>
                        <w:rFonts w:cs="Times" w:ascii="Times" w:hAnsi="Times"/>
                        <w:sz w:val="18"/>
                      </w:rPr>
                      <w:t>Toronto  ON   M5H 3T4</w:t>
                    </w:r>
                  </w:p>
                  <w:p>
                    <w:pPr>
                      <w:pStyle w:val="Normal"/>
                      <w:spacing w:lineRule="exact" w:line="200"/>
                      <w:rPr>
                        <w:rFonts w:ascii="Times" w:hAnsi="Times" w:cs="Times"/>
                        <w:sz w:val="18"/>
                      </w:rPr>
                    </w:pPr>
                    <w:r>
                      <w:rPr>
                        <w:rFonts w:cs="Times" w:ascii="Times" w:hAnsi="Times"/>
                        <w:sz w:val="18"/>
                      </w:rPr>
                      <w:t>Canada</w:t>
                    </w:r>
                  </w:p>
                </w:txbxContent>
              </v:textbox>
              <w10:wrap type="none"/>
            </v:rect>
          </w:pict>
        </mc:Fallback>
      </mc:AlternateContent>
    </w:r>
    <w:r>
      <mc:AlternateContent>
        <mc:Choice Requires="wps">
          <w:drawing>
            <wp:anchor behindDoc="1" distT="0" distB="0" distL="114935" distR="114935" simplePos="0" locked="0" layoutInCell="1" allowOverlap="1" relativeHeight="4">
              <wp:simplePos x="0" y="0"/>
              <wp:positionH relativeFrom="column">
                <wp:posOffset>4803140</wp:posOffset>
              </wp:positionH>
              <wp:positionV relativeFrom="paragraph">
                <wp:posOffset>350520</wp:posOffset>
              </wp:positionV>
              <wp:extent cx="1554480" cy="548640"/>
              <wp:effectExtent l="0" t="0" r="0" b="0"/>
              <wp:wrapNone/>
              <wp:docPr id="6" name="Frame5"/>
              <a:graphic xmlns:a="http://schemas.openxmlformats.org/drawingml/2006/main">
                <a:graphicData uri="http://schemas.microsoft.com/office/word/2010/wordprocessingShape">
                  <wps:wsp>
                    <wps:cNvSpPr txBox="1"/>
                    <wps:spPr>
                      <a:xfrm>
                        <a:off x="0" y="0"/>
                        <a:ext cx="1554480" cy="548640"/>
                      </a:xfrm>
                      <a:prstGeom prst="rect"/>
                      <a:solidFill>
                        <a:srgbClr val="FFFFFF"/>
                      </a:solidFill>
                    </wps:spPr>
                    <wps:txbx>
                      <w:txbxContent>
                        <w:p>
                          <w:pPr>
                            <w:pStyle w:val="Normal"/>
                            <w:tabs>
                              <w:tab w:val="clear" w:pos="720"/>
                              <w:tab w:val="right" w:pos="7104" w:leader="none"/>
                            </w:tabs>
                            <w:spacing w:lineRule="exact" w:line="200"/>
                            <w:rPr>
                              <w:rFonts w:ascii="Times" w:hAnsi="Times" w:cs="Times"/>
                              <w:sz w:val="18"/>
                            </w:rPr>
                          </w:pPr>
                          <w:r>
                            <w:rPr>
                              <w:rFonts w:cs="Times" w:ascii="Times" w:hAnsi="Times"/>
                              <w:sz w:val="18"/>
                            </w:rPr>
                            <w:t>Tel 416 598 0055</w:t>
                          </w:r>
                        </w:p>
                        <w:p>
                          <w:pPr>
                            <w:pStyle w:val="Normal"/>
                            <w:tabs>
                              <w:tab w:val="clear" w:pos="720"/>
                              <w:tab w:val="right" w:pos="7104" w:leader="none"/>
                            </w:tabs>
                            <w:spacing w:lineRule="exact" w:line="200"/>
                            <w:rPr>
                              <w:rFonts w:ascii="Times" w:hAnsi="Times" w:cs="Times"/>
                              <w:sz w:val="18"/>
                            </w:rPr>
                          </w:pPr>
                          <w:r>
                            <w:rPr>
                              <w:rFonts w:cs="Times" w:ascii="Times" w:hAnsi="Times"/>
                              <w:sz w:val="18"/>
                            </w:rPr>
                            <w:t>Fax 416 598 3811</w:t>
                          </w:r>
                        </w:p>
                        <w:p>
                          <w:pPr>
                            <w:pStyle w:val="Normal"/>
                            <w:tabs>
                              <w:tab w:val="clear" w:pos="720"/>
                              <w:tab w:val="right" w:pos="7104" w:leader="none"/>
                            </w:tabs>
                            <w:spacing w:lineRule="exact" w:line="200"/>
                            <w:rPr>
                              <w:rFonts w:ascii="Times" w:hAnsi="Times" w:cs="Times"/>
                              <w:b/>
                              <w:sz w:val="18"/>
                            </w:rPr>
                          </w:pPr>
                          <w:r>
                            <w:rPr>
                              <w:rFonts w:cs="Times" w:ascii="Times" w:hAnsi="Times"/>
                              <w:b/>
                              <w:sz w:val="18"/>
                            </w:rPr>
                            <w:t>www.gpcinternational.com</w:t>
                          </w:r>
                        </w:p>
                      </w:txbxContent>
                    </wps:txbx>
                    <wps:bodyPr anchor="t" lIns="92075" tIns="46355" rIns="92075" bIns="46355">
                      <a:noAutofit/>
                    </wps:bodyPr>
                  </wps:wsp>
                </a:graphicData>
              </a:graphic>
            </wp:anchor>
          </w:drawing>
        </mc:Choice>
        <mc:Fallback>
          <w:pict>
            <v:rect fillcolor="#FFFFFF" style="position:absolute;rotation:-0;width:122.4pt;height:43.2pt;mso-wrap-distance-left:9.05pt;mso-wrap-distance-right:9.05pt;mso-wrap-distance-top:0pt;mso-wrap-distance-bottom:0pt;margin-top:27.6pt;mso-position-vertical-relative:text;margin-left:378.2pt;mso-position-horizontal-relative:text">
              <v:textbox inset="0.100694444444444in,0.0506944444444444in,0.100694444444444in,0.0506944444444444in">
                <w:txbxContent>
                  <w:p>
                    <w:pPr>
                      <w:pStyle w:val="Normal"/>
                      <w:tabs>
                        <w:tab w:val="clear" w:pos="720"/>
                        <w:tab w:val="right" w:pos="7104" w:leader="none"/>
                      </w:tabs>
                      <w:spacing w:lineRule="exact" w:line="200"/>
                      <w:rPr>
                        <w:rFonts w:ascii="Times" w:hAnsi="Times" w:cs="Times"/>
                        <w:sz w:val="18"/>
                      </w:rPr>
                    </w:pPr>
                    <w:r>
                      <w:rPr>
                        <w:rFonts w:cs="Times" w:ascii="Times" w:hAnsi="Times"/>
                        <w:sz w:val="18"/>
                      </w:rPr>
                      <w:t>Tel 416 598 0055</w:t>
                    </w:r>
                  </w:p>
                  <w:p>
                    <w:pPr>
                      <w:pStyle w:val="Normal"/>
                      <w:tabs>
                        <w:tab w:val="clear" w:pos="720"/>
                        <w:tab w:val="right" w:pos="7104" w:leader="none"/>
                      </w:tabs>
                      <w:spacing w:lineRule="exact" w:line="200"/>
                      <w:rPr>
                        <w:rFonts w:ascii="Times" w:hAnsi="Times" w:cs="Times"/>
                        <w:sz w:val="18"/>
                      </w:rPr>
                    </w:pPr>
                    <w:r>
                      <w:rPr>
                        <w:rFonts w:cs="Times" w:ascii="Times" w:hAnsi="Times"/>
                        <w:sz w:val="18"/>
                      </w:rPr>
                      <w:t>Fax 416 598 3811</w:t>
                    </w:r>
                  </w:p>
                  <w:p>
                    <w:pPr>
                      <w:pStyle w:val="Normal"/>
                      <w:tabs>
                        <w:tab w:val="clear" w:pos="720"/>
                        <w:tab w:val="right" w:pos="7104" w:leader="none"/>
                      </w:tabs>
                      <w:spacing w:lineRule="exact" w:line="200"/>
                      <w:rPr>
                        <w:rFonts w:ascii="Times" w:hAnsi="Times" w:cs="Times"/>
                        <w:b/>
                        <w:sz w:val="18"/>
                      </w:rPr>
                    </w:pPr>
                    <w:r>
                      <w:rPr>
                        <w:rFonts w:cs="Times" w:ascii="Times" w:hAnsi="Times"/>
                        <w:b/>
                        <w:sz w:val="18"/>
                      </w:rPr>
                      <w:t>www.gpcinternational.com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00"/>
      <w:outlineLvl w:val="0"/>
    </w:pPr>
    <w:rPr>
      <w:rFonts w:ascii="Times" w:hAnsi="Times" w:cs="Times"/>
      <w:b/>
      <w:sz w:val="56"/>
    </w:rPr>
  </w:style>
  <w:style w:type="paragraph" w:styleId="Heading2">
    <w:name w:val="heading 2"/>
    <w:basedOn w:val="Normal"/>
    <w:next w:val="Normal"/>
    <w:qFormat/>
    <w:pPr>
      <w:keepNext w:val="true"/>
      <w:numPr>
        <w:ilvl w:val="1"/>
        <w:numId w:val="1"/>
      </w:numPr>
      <w:outlineLvl w:val="1"/>
    </w:pPr>
    <w:rPr>
      <w:rFonts w:ascii="Arial Narrow" w:hAnsi="Arial Narrow" w:cs="Arial Narrow"/>
      <w:i/>
      <w:sz w:val="18"/>
    </w:rPr>
  </w:style>
  <w:style w:type="paragraph" w:styleId="Heading3">
    <w:name w:val="heading 3"/>
    <w:basedOn w:val="Normal"/>
    <w:next w:val="Normal"/>
    <w:qFormat/>
    <w:pPr>
      <w:keepNext w:val="true"/>
      <w:numPr>
        <w:ilvl w:val="2"/>
        <w:numId w:val="1"/>
      </w:numPr>
      <w:outlineLvl w:val="2"/>
    </w:pPr>
    <w:rPr>
      <w:rFonts w:ascii="Arial" w:hAnsi="Arial" w:cs="Arial"/>
      <w:b/>
      <w:sz w:val="28"/>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Times New Roman" w:hAnsi="Times New Roman" w:cs="Times New Roman"/>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Times New Roman" w:hAnsi="Times New Roman" w:cs="Times New Roman"/>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BodyTextIndent">
    <w:name w:val="Body Text Indent"/>
    <w:basedOn w:val="Normal"/>
    <w:pPr>
      <w:ind w:hanging="0" w:start="36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2001-08-31T12:48:00Z</dcterms:created>
  <dc:creator>GPC</dc:creator>
  <dc:description/>
  <dc:language>en-CA</dc:language>
  <cp:lastModifiedBy>GPC</cp:lastModifiedBy>
  <cp:lastPrinted>2001-09-04T10:43:00Z</cp:lastPrinted>
  <dcterms:modified xsi:type="dcterms:W3CDTF">2001-09-04T12:24:00Z</dcterms:modified>
  <cp:revision>4</cp:revision>
  <dc:subject/>
  <dc:title>DD Month Year</dc:title>
</cp:coreProperties>
</file>