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Cs/>
        </w:rPr>
      </w:pPr>
      <w:r>
        <w:rPr>
          <w:bCs/>
        </w:rPr>
        <w:t>Core vs Non-Core</w:t>
      </w:r>
    </w:p>
    <w:p>
      <w:pPr>
        <w:pStyle w:val="Normal"/>
        <w:rPr>
          <w:bCs/>
        </w:rPr>
      </w:pPr>
      <w:r>
        <w:rPr>
          <w:bCs/>
        </w:rPr>
      </w:r>
    </w:p>
    <w:p>
      <w:pPr>
        <w:pStyle w:val="Normal"/>
        <w:rPr/>
      </w:pPr>
      <w:r>
        <w:rPr/>
        <w:t xml:space="preserve">First of all, we have broken Enron down into three fundamental groups of businesses –  Core, Core - Under Review and Non-Core.  Let me explain what falls into each category - </w:t>
      </w:r>
    </w:p>
    <w:p>
      <w:pPr>
        <w:pStyle w:val="Normal"/>
        <w:numPr>
          <w:ilvl w:val="0"/>
          <w:numId w:val="2"/>
        </w:numPr>
        <w:rPr/>
      </w:pPr>
      <w:r>
        <w:rPr>
          <w:b/>
          <w:bCs/>
        </w:rPr>
        <w:t>Core Businesses</w:t>
      </w:r>
      <w:r>
        <w:rPr/>
        <w:t xml:space="preserve"> are our strong, consistent businesses for which Enron has a distinct competitive advantage.  These businesses, collectively, generate significant earnings and cash flows for the company.  These businesses include – </w:t>
      </w:r>
    </w:p>
    <w:p>
      <w:pPr>
        <w:pStyle w:val="Normal"/>
        <w:ind w:start="60" w:end="0"/>
        <w:rPr/>
      </w:pPr>
      <w:r>
        <w:rPr/>
      </w:r>
    </w:p>
    <w:p>
      <w:pPr>
        <w:pStyle w:val="Normal"/>
        <w:numPr>
          <w:ilvl w:val="1"/>
          <w:numId w:val="2"/>
        </w:numPr>
        <w:rPr/>
      </w:pPr>
      <w:r>
        <w:rPr/>
        <w:t>Gas &amp; Power businesses in North America &amp; Europe;</w:t>
      </w:r>
    </w:p>
    <w:p>
      <w:pPr>
        <w:pStyle w:val="Normal"/>
        <w:numPr>
          <w:ilvl w:val="1"/>
          <w:numId w:val="2"/>
        </w:numPr>
        <w:rPr/>
      </w:pPr>
      <w:r>
        <w:rPr/>
        <w:t>Coal businesses in North America &amp; Europe;</w:t>
      </w:r>
    </w:p>
    <w:p>
      <w:pPr>
        <w:pStyle w:val="Normal"/>
        <w:numPr>
          <w:ilvl w:val="1"/>
          <w:numId w:val="2"/>
        </w:numPr>
        <w:rPr/>
      </w:pPr>
      <w:r>
        <w:rPr/>
        <w:t xml:space="preserve">Retail businesses in North America and Europe; and our </w:t>
      </w:r>
    </w:p>
    <w:p>
      <w:pPr>
        <w:pStyle w:val="Normal"/>
        <w:numPr>
          <w:ilvl w:val="1"/>
          <w:numId w:val="2"/>
        </w:numPr>
        <w:rPr/>
      </w:pPr>
      <w:r>
        <w:rPr/>
        <w:t>Natural Gas Pipeline businesses</w:t>
      </w:r>
    </w:p>
    <w:p>
      <w:pPr>
        <w:pStyle w:val="Normal"/>
        <w:rPr/>
      </w:pPr>
      <w:r>
        <w:rPr/>
      </w:r>
    </w:p>
    <w:p>
      <w:pPr>
        <w:pStyle w:val="Normal"/>
        <w:numPr>
          <w:ilvl w:val="0"/>
          <w:numId w:val="2"/>
        </w:numPr>
        <w:rPr/>
      </w:pPr>
      <w:r>
        <w:rPr>
          <w:b/>
          <w:bCs/>
        </w:rPr>
        <w:t>Core Businesses – Under Review</w:t>
      </w:r>
      <w:r>
        <w:rPr/>
        <w:t xml:space="preserve"> are businesses that we believe have strong future prospects, however under the current environment, we will look closely at the capital requirements and near-term growth prospects of these businesses.  These businesses include – </w:t>
      </w:r>
    </w:p>
    <w:p>
      <w:pPr>
        <w:pStyle w:val="Normal"/>
        <w:rPr/>
      </w:pPr>
      <w:r>
        <w:rPr/>
      </w:r>
    </w:p>
    <w:p>
      <w:pPr>
        <w:pStyle w:val="Normal"/>
        <w:numPr>
          <w:ilvl w:val="1"/>
          <w:numId w:val="2"/>
        </w:numPr>
        <w:rPr/>
      </w:pPr>
      <w:r>
        <w:rPr/>
        <w:t xml:space="preserve">Our wholesale businesses outside of power and gas which include both our energy-related and industrial markets activities; and </w:t>
      </w:r>
    </w:p>
    <w:p>
      <w:pPr>
        <w:pStyle w:val="Normal"/>
        <w:numPr>
          <w:ilvl w:val="1"/>
          <w:numId w:val="2"/>
        </w:numPr>
        <w:rPr/>
      </w:pPr>
      <w:r>
        <w:rPr/>
        <w:t>Our broadband business where we continue to maximize our option on participation in a global bandwidth commodity market</w:t>
      </w:r>
    </w:p>
    <w:p>
      <w:pPr>
        <w:pStyle w:val="Normal"/>
        <w:ind w:start="60" w:end="0"/>
        <w:rPr/>
      </w:pPr>
      <w:r>
        <w:rPr/>
      </w:r>
    </w:p>
    <w:p>
      <w:pPr>
        <w:pStyle w:val="BodyTextIndent3"/>
        <w:rPr/>
      </w:pPr>
      <w:r>
        <w:rPr/>
        <w:t>With respect to these businesses, we are performing an in-depth assessment of each business and will be making a determination very quickly about the resources we intend to expend in this area.</w:t>
      </w:r>
    </w:p>
    <w:p>
      <w:pPr>
        <w:pStyle w:val="Normal"/>
        <w:rPr/>
      </w:pPr>
      <w:r>
        <w:rPr/>
      </w:r>
    </w:p>
    <w:p>
      <w:pPr>
        <w:pStyle w:val="Normal"/>
        <w:numPr>
          <w:ilvl w:val="0"/>
          <w:numId w:val="2"/>
        </w:numPr>
        <w:rPr/>
      </w:pPr>
      <w:r>
        <w:rPr>
          <w:b/>
          <w:bCs/>
        </w:rPr>
        <w:t>Non-Core</w:t>
      </w:r>
      <w:r>
        <w:rPr/>
        <w:t xml:space="preserve"> businesses are businesses that are clearly not consistent with Enron’s core business focus and are primarily consist of our global assets business.  We are actively seeking to divest these assets in an orderly liquidation fashion.  We expect that the sale of these non-core businesses will generate billions of dollars of free cash flow that Enron will subsequently use to either repay debt or redeploy into its core businesses.</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80"/>
        </w:tabs>
        <w:ind w:start="780" w:hanging="360"/>
      </w:pPr>
      <w:rPr>
        <w:rFonts w:ascii="Symbol" w:hAnsi="Symbol" w:cs="Symbol" w:hint="default"/>
      </w:rPr>
    </w:lvl>
    <w:lvl w:ilvl="1">
      <w:start w:val="1"/>
      <w:numFmt w:val="bullet"/>
      <w:lvlText w:val="o"/>
      <w:lvlJc w:val="start"/>
      <w:pPr>
        <w:tabs>
          <w:tab w:val="num" w:pos="1500"/>
        </w:tabs>
        <w:ind w:start="1500" w:hanging="360"/>
      </w:pPr>
      <w:rPr>
        <w:rFonts w:ascii="Courier New" w:hAnsi="Courier New" w:cs="Courier New" w:hint="default"/>
      </w:rPr>
    </w:lvl>
    <w:lvl w:ilvl="2">
      <w:start w:val="1"/>
      <w:numFmt w:val="bullet"/>
      <w:lvlText w:val=""/>
      <w:lvlJc w:val="start"/>
      <w:pPr>
        <w:tabs>
          <w:tab w:val="num" w:pos="2220"/>
        </w:tabs>
        <w:ind w:start="2220" w:hanging="360"/>
      </w:pPr>
      <w:rPr>
        <w:rFonts w:ascii="Symbol" w:hAnsi="Symbol" w:cs="Symbol" w:hint="default"/>
      </w:rPr>
    </w:lvl>
    <w:lvl w:ilvl="3">
      <w:start w:val="1"/>
      <w:numFmt w:val="bullet"/>
      <w:lvlText w:val=""/>
      <w:lvlJc w:val="start"/>
      <w:pPr>
        <w:tabs>
          <w:tab w:val="num" w:pos="2940"/>
        </w:tabs>
        <w:ind w:start="2940" w:hanging="360"/>
      </w:pPr>
      <w:rPr>
        <w:rFonts w:ascii="Symbol" w:hAnsi="Symbol" w:cs="Symbol" w:hint="default"/>
      </w:rPr>
    </w:lvl>
    <w:lvl w:ilvl="4">
      <w:start w:val="1"/>
      <w:numFmt w:val="bullet"/>
      <w:lvlText w:val="o"/>
      <w:lvlJc w:val="start"/>
      <w:pPr>
        <w:tabs>
          <w:tab w:val="num" w:pos="3660"/>
        </w:tabs>
        <w:ind w:start="3660" w:hanging="360"/>
      </w:pPr>
      <w:rPr>
        <w:rFonts w:ascii="Courier New" w:hAnsi="Courier New" w:cs="Courier New" w:hint="default"/>
      </w:rPr>
    </w:lvl>
    <w:lvl w:ilvl="5">
      <w:start w:val="1"/>
      <w:numFmt w:val="bullet"/>
      <w:lvlText w:val=""/>
      <w:lvlJc w:val="start"/>
      <w:pPr>
        <w:tabs>
          <w:tab w:val="num" w:pos="4380"/>
        </w:tabs>
        <w:ind w:start="4380" w:hanging="360"/>
      </w:pPr>
      <w:rPr>
        <w:rFonts w:ascii="Wingdings" w:hAnsi="Wingdings" w:cs="Wingdings" w:hint="default"/>
      </w:rPr>
    </w:lvl>
    <w:lvl w:ilvl="6">
      <w:start w:val="1"/>
      <w:numFmt w:val="bullet"/>
      <w:lvlText w:val=""/>
      <w:lvlJc w:val="start"/>
      <w:pPr>
        <w:tabs>
          <w:tab w:val="num" w:pos="5100"/>
        </w:tabs>
        <w:ind w:start="5100" w:hanging="360"/>
      </w:pPr>
      <w:rPr>
        <w:rFonts w:ascii="Symbol" w:hAnsi="Symbol" w:cs="Symbol" w:hint="default"/>
      </w:rPr>
    </w:lvl>
    <w:lvl w:ilvl="7">
      <w:start w:val="1"/>
      <w:numFmt w:val="bullet"/>
      <w:lvlText w:val="o"/>
      <w:lvlJc w:val="start"/>
      <w:pPr>
        <w:tabs>
          <w:tab w:val="num" w:pos="5820"/>
        </w:tabs>
        <w:ind w:start="5820" w:hanging="360"/>
      </w:pPr>
      <w:rPr>
        <w:rFonts w:ascii="Courier New" w:hAnsi="Courier New" w:cs="Courier New" w:hint="default"/>
      </w:rPr>
    </w:lvl>
    <w:lvl w:ilvl="8">
      <w:start w:val="1"/>
      <w:numFmt w:val="bullet"/>
      <w:lvlText w:val=""/>
      <w:lvlJc w:val="start"/>
      <w:pPr>
        <w:tabs>
          <w:tab w:val="num" w:pos="6540"/>
        </w:tabs>
        <w:ind w:start="654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Cs w:val="20"/>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5">
    <w:name w:val="WW8Num1z5"/>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0" w:start="720" w:end="0"/>
    </w:pPr>
    <w:rPr>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2001-11-14T11:15:00Z</dcterms:created>
  <dc:creator>skean</dc:creator>
  <dc:description/>
  <dc:language>en-CA</dc:language>
  <cp:lastModifiedBy>skean</cp:lastModifiedBy>
  <dcterms:modified xsi:type="dcterms:W3CDTF">2001-11-14T11:16:00Z</dcterms:modified>
  <cp:revision>1</cp:revision>
  <dc:subject/>
  <dc:title>Core vs Non-Core</dc:title>
</cp:coreProperties>
</file>