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ind w:firstLine="720" w:start="2880" w:end="0"/>
        <w:jc w:val="both"/>
        <w:rPr>
          <w:b/>
          <w:sz w:val="22"/>
        </w:rPr>
      </w:pPr>
      <w:r>
        <w:rPr>
          <w:sz w:val="22"/>
        </w:rPr>
        <w:t>November 29, 2000</w:t>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Coral Power, L.L.C.</w:t>
      </w:r>
    </w:p>
    <w:p>
      <w:pPr>
        <w:pStyle w:val="Normal"/>
        <w:tabs>
          <w:tab w:val="clear" w:pos="720"/>
          <w:tab w:val="left" w:pos="-1440" w:leader="none"/>
        </w:tabs>
        <w:ind w:hanging="2880" w:start="2880" w:end="0"/>
        <w:rPr>
          <w:sz w:val="22"/>
        </w:rPr>
      </w:pPr>
      <w:r>
        <w:rPr>
          <w:sz w:val="22"/>
        </w:rPr>
        <w:t>909 Fannin, Suite 700</w:t>
      </w:r>
    </w:p>
    <w:p>
      <w:pPr>
        <w:pStyle w:val="Normal"/>
        <w:tabs>
          <w:tab w:val="clear" w:pos="720"/>
          <w:tab w:val="left" w:pos="-1440" w:leader="none"/>
        </w:tabs>
        <w:ind w:hanging="2880" w:start="2880" w:end="0"/>
        <w:rPr>
          <w:sz w:val="22"/>
          <w:u w:val="single"/>
        </w:rPr>
      </w:pPr>
      <w:r>
        <w:rPr>
          <w:sz w:val="22"/>
        </w:rPr>
        <w:t>Houston, Texas 77010</w:t>
      </w:r>
    </w:p>
    <w:p>
      <w:pPr>
        <w:pStyle w:val="Normal"/>
        <w:jc w:val="both"/>
        <w:rPr>
          <w:sz w:val="22"/>
          <w:u w:val="single"/>
        </w:rPr>
      </w:pPr>
      <w:r>
        <w:rPr>
          <w:sz w:val="22"/>
          <w:u w:val="single"/>
        </w:rPr>
      </w:r>
    </w:p>
    <w:p>
      <w:pPr>
        <w:pStyle w:val="Normal"/>
        <w:jc w:val="both"/>
        <w:rPr>
          <w:sz w:val="22"/>
        </w:rPr>
      </w:pPr>
      <w:r>
        <w:rPr>
          <w:sz w:val="22"/>
        </w:rPr>
        <w:t>Attn.: Debbie Wernet, President -- North American Trading</w:t>
      </w:r>
    </w:p>
    <w:p>
      <w:pPr>
        <w:pStyle w:val="Normal"/>
        <w:jc w:val="both"/>
        <w:rPr>
          <w:sz w:val="22"/>
        </w:rPr>
      </w:pPr>
      <w:r>
        <w:rPr>
          <w:sz w:val="22"/>
        </w:rPr>
      </w:r>
    </w:p>
    <w:p>
      <w:pPr>
        <w:pStyle w:val="Normal"/>
        <w:jc w:val="both"/>
        <w:rPr>
          <w:sz w:val="22"/>
        </w:rPr>
      </w:pPr>
      <w:r>
        <w:rPr>
          <w:sz w:val="22"/>
        </w:rPr>
        <w:t>Re:</w:t>
        <w:tab/>
        <w:t>Letter of Intent – Unit 1</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Coral Power, L.L.C., a Delaware limited liability company (“Coral”) and Enron North America Corp., a Delaware corporation (“ENA”), to evaluate the possibility of ENA providing to Coral one (1) LM6000 Enhanced SPRINT dual-fuel combustion turbine-generator set (“Unit 1”) in exchange for cash and equity interests in a joint venture formed to develop an electric generating facility (the “Facility”) on the West coast (the “Proposed Transaction”).  Coral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3"/>
        </w:numPr>
        <w:tabs>
          <w:tab w:val="clear" w:pos="720"/>
          <w:tab w:val="left" w:pos="1440" w:leader="none"/>
        </w:tabs>
        <w:ind w:firstLine="720" w:start="0" w:end="0"/>
        <w:jc w:val="both"/>
        <w:rPr>
          <w:sz w:val="22"/>
        </w:rPr>
      </w:pPr>
      <w:r>
        <w:rPr>
          <w:sz w:val="22"/>
        </w:rPr>
        <w:tab/>
        <w:t xml:space="preserve">The Parties will meet to discuss the Proposed Transaction and the necessary agreements relating thereto. It is understood that ENA and Coral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Immediately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either Party terminates this Agreement by written notice to the other Party because the terminating Party reasonably believes that the Proposed Transaction will not be economically viable or otherwise successful; (ii) the execution of definitive documentation related to the Proposed Transaction that expressly supersedes this Agreement, or (iii) December 15, 2000 (the “Term”).  The provisions of Section 2,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sz w:val="22"/>
        </w:rPr>
        <w:t>(a)</w:t>
      </w:r>
      <w:r>
        <w:rPr>
          <w:b/>
          <w:sz w:val="22"/>
        </w:rPr>
        <w:t xml:space="preserve"> </w:t>
      </w:r>
      <w:r>
        <w:rPr>
          <w:bCs/>
          <w:sz w:val="22"/>
        </w:rPr>
        <w:t>For</w:t>
      </w:r>
      <w:r>
        <w:rPr>
          <w:sz w:val="22"/>
        </w:rPr>
        <w:t xml:space="preserve">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who need to know the confidential information for purposes of this Agreement,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to the receiving Party’s knowledge,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 xml:space="preserve">Each Party hereby represents and warrants to the other Party that (a) this Agreement has been validly executed and delivered, (b) this Agreement has been duly authorized by all action necessary for the authorization hereof, (c) this Agreement is the legal, valid and binding obligation of such Party, enforceable in accordance with its terms, and (d) </w:t>
      </w:r>
      <w:r>
        <w:rPr>
          <w:rStyle w:val="No1"/>
          <w:sz w:val="22"/>
        </w:rPr>
        <w:t>it may rightfully disclose or make available the confidential information to the other party without the violation of any contractual, legal, fiduciary, or other obligation to any person</w:t>
      </w:r>
      <w:r>
        <w:rPr>
          <w:sz w:val="22"/>
        </w:rPr>
        <w:t>.</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authorized representatives of both Parties.  A Party may only waive a provision of this Agreement in writing; provided, however, that Paragraphs 5 and 8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TEXAS, WITHOUT GIVING EFFECT TO CONFLICT OF LAWS PRINCIPLES THAT WOULD DIRECT THE APPLICATION OF LAWS OF A DIFFERENT JURISDICTION.</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PROPOSED TRANSACTION; AND (3)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2"/>
        </w:rPr>
      </w:pPr>
      <w:r>
        <w:rPr>
          <w:sz w:val="22"/>
        </w:rPr>
      </w:r>
    </w:p>
    <w:p>
      <w:pPr>
        <w:pStyle w:val="Normal"/>
        <w:ind w:firstLine="720" w:end="0"/>
        <w:jc w:val="both"/>
        <w:rPr>
          <w:sz w:val="22"/>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r>
        <w:rPr>
          <w:rStyle w:val="No1"/>
          <w:sz w:val="22"/>
        </w:rPr>
        <w:t>This Agreement neither obligates a Party to deal exclusively with the other Party nor prevents a Party or any of its affiliates from competing with the other Party or any of its affiliates.</w:t>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CORAL,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either Party may assign its rights and obligations hereunder to any of its affiliates; provided that no such assigning Party shall be relieved of it liabilities hereunder by virtue of such assignment unless the other party agrees to such a release in writing.  </w:t>
      </w:r>
    </w:p>
    <w:p>
      <w:pPr>
        <w:pStyle w:val="Normal"/>
        <w:ind w:firstLine="720" w:end="0"/>
        <w:jc w:val="both"/>
        <w:rPr>
          <w:sz w:val="22"/>
        </w:rPr>
      </w:pPr>
      <w:r>
        <w:rPr>
          <w:sz w:val="22"/>
        </w:rPr>
      </w:r>
    </w:p>
    <w:p>
      <w:pPr>
        <w:pStyle w:val="Normal"/>
        <w:ind w:firstLine="720" w:end="0"/>
        <w:jc w:val="both"/>
        <w:rPr/>
      </w:pPr>
      <w:r>
        <w:rPr>
          <w:sz w:val="22"/>
        </w:rPr>
        <w:t>13.</w:t>
        <w:tab/>
      </w:r>
      <w:r>
        <w:rPr>
          <w:b/>
          <w:bCs/>
          <w:sz w:val="22"/>
        </w:rPr>
        <w:t>Notices.</w:t>
      </w:r>
      <w:r>
        <w:rPr>
          <w:sz w:val="22"/>
        </w:rPr>
        <w:t xml:space="preserve">  Any notice to be given under this Agreement shall be in writing and may be sent by courier, facsimile transmission or United States mail.  Notices sent by courier shall be effective upon receipt.  Notices sent by facsimile transmission shall be effective upon receipt of automatic confirmation of transmission.  Notices sent by United States mail shall be effective two business days after deposit into a United States mail receptacle, first class postage prepaid.  Notices shall be sent to the Parties at the addresses set forth beneath their respective signature line, provided that any Party may change its address for notice hereunder upon prior written notice to the other Party.</w:t>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pPr>
      <w:r>
        <w:rPr>
          <w:sz w:val="22"/>
        </w:rPr>
        <w:t>By:</w:t>
      </w:r>
      <w:r>
        <w:rPr>
          <w:sz w:val="22"/>
          <w:u w:val="single"/>
        </w:rPr>
        <w:tab/>
        <w:tab/>
        <w:tab/>
        <w:tab/>
        <w:tab/>
        <w:tab/>
      </w:r>
    </w:p>
    <w:p>
      <w:pPr>
        <w:pStyle w:val="Normal"/>
        <w:jc w:val="both"/>
        <w:rPr>
          <w:sz w:val="22"/>
          <w:u w:val="single"/>
        </w:rPr>
      </w:pPr>
      <w:r>
        <w:rPr>
          <w:sz w:val="22"/>
          <w:u w:val="single"/>
        </w:rPr>
      </w:r>
    </w:p>
    <w:p>
      <w:pPr>
        <w:pStyle w:val="Normal"/>
        <w:jc w:val="both"/>
        <w:rPr/>
      </w:pPr>
      <w:r>
        <w:rPr>
          <w:sz w:val="22"/>
        </w:rPr>
        <w:t>Printed Name:</w:t>
      </w:r>
      <w:r>
        <w:rPr>
          <w:sz w:val="22"/>
          <w:u w:val="single"/>
        </w:rPr>
        <w:tab/>
        <w:tab/>
        <w:tab/>
        <w:tab/>
        <w:tab/>
      </w:r>
    </w:p>
    <w:p>
      <w:pPr>
        <w:pStyle w:val="Normal"/>
        <w:jc w:val="both"/>
        <w:rPr>
          <w:sz w:val="22"/>
          <w:u w:val="single"/>
        </w:rPr>
      </w:pPr>
      <w:r>
        <w:rPr>
          <w:sz w:val="22"/>
          <w:u w:val="single"/>
        </w:rPr>
      </w:r>
    </w:p>
    <w:p>
      <w:pPr>
        <w:pStyle w:val="Normal"/>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rPr>
        <w:t>Enron North America Corp.</w:t>
      </w:r>
    </w:p>
    <w:p>
      <w:pPr>
        <w:pStyle w:val="Heading1"/>
        <w:ind w:hanging="0" w:start="0"/>
        <w:rPr>
          <w:b w:val="false"/>
          <w:bCs w:val="false"/>
        </w:rPr>
      </w:pPr>
      <w:r>
        <w:rPr>
          <w:b w:val="false"/>
          <w:bCs w:val="false"/>
        </w:rPr>
        <w:t>1400 Smith Street</w:t>
      </w:r>
    </w:p>
    <w:p>
      <w:pPr>
        <w:pStyle w:val="Normal"/>
        <w:jc w:val="both"/>
        <w:rPr>
          <w:sz w:val="22"/>
        </w:rPr>
      </w:pPr>
      <w:r>
        <w:rPr>
          <w:sz w:val="22"/>
        </w:rPr>
        <w:t>Houston, Texas 77002</w:t>
      </w:r>
    </w:p>
    <w:p>
      <w:pPr>
        <w:pStyle w:val="Normal"/>
        <w:jc w:val="both"/>
        <w:rPr>
          <w:sz w:val="22"/>
        </w:rPr>
      </w:pPr>
      <w:r>
        <w:rPr>
          <w:sz w:val="22"/>
        </w:rPr>
      </w:r>
    </w:p>
    <w:p>
      <w:pPr>
        <w:pStyle w:val="Normal"/>
        <w:jc w:val="both"/>
        <w:rPr>
          <w:sz w:val="22"/>
        </w:rPr>
      </w:pPr>
      <w:r>
        <w:rPr>
          <w:sz w:val="22"/>
        </w:rPr>
        <w:t>Attention: Ben F. Jacoby</w:t>
      </w:r>
    </w:p>
    <w:p>
      <w:pPr>
        <w:pStyle w:val="Normal"/>
        <w:jc w:val="both"/>
        <w:rPr>
          <w:sz w:val="22"/>
        </w:rPr>
      </w:pPr>
      <w:r>
        <w:rPr>
          <w:sz w:val="22"/>
        </w:rPr>
        <w:t>Fax #: 713 646-3037</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29th day of November, 2000:</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b/>
          <w:sz w:val="22"/>
        </w:rPr>
      </w:pPr>
      <w:r>
        <w:rPr>
          <w:b/>
          <w:sz w:val="22"/>
        </w:rPr>
        <w:t>CORAL POWER, L.L.C.</w:t>
      </w:r>
    </w:p>
    <w:p>
      <w:pPr>
        <w:pStyle w:val="Normal"/>
        <w:keepNext w:val="true"/>
        <w:keepLines/>
        <w:jc w:val="both"/>
        <w:rPr>
          <w:b/>
          <w:sz w:val="22"/>
        </w:rPr>
      </w:pPr>
      <w:r>
        <w:rPr>
          <w:b/>
          <w:sz w:val="22"/>
        </w:rPr>
      </w:r>
    </w:p>
    <w:p>
      <w:pPr>
        <w:pStyle w:val="Normal"/>
        <w:keepNext w:val="true"/>
        <w:keepLines/>
        <w:jc w:val="both"/>
        <w:rPr/>
      </w:pPr>
      <w:r>
        <w:rPr>
          <w:sz w:val="22"/>
        </w:rPr>
        <w:t>By:</w:t>
      </w:r>
      <w:r>
        <w:rPr>
          <w:sz w:val="22"/>
          <w:u w:val="single"/>
        </w:rPr>
        <w:tab/>
        <w:tab/>
        <w:tab/>
        <w:tab/>
        <w:tab/>
        <w:tab/>
      </w:r>
    </w:p>
    <w:p>
      <w:pPr>
        <w:pStyle w:val="Normal"/>
        <w:keepNext w:val="true"/>
        <w:keepLines/>
        <w:jc w:val="both"/>
        <w:rPr>
          <w:sz w:val="22"/>
          <w:u w:val="single"/>
        </w:rPr>
      </w:pPr>
      <w:r>
        <w:rPr>
          <w:sz w:val="22"/>
          <w:u w:val="single"/>
        </w:rPr>
      </w:r>
    </w:p>
    <w:p>
      <w:pPr>
        <w:pStyle w:val="Normal"/>
        <w:keepNext w:val="true"/>
        <w:keepLines/>
        <w:jc w:val="both"/>
        <w:rPr/>
      </w:pPr>
      <w:r>
        <w:rPr>
          <w:sz w:val="22"/>
        </w:rPr>
        <w:t>Printed Name:</w:t>
      </w:r>
      <w:r>
        <w:rPr>
          <w:sz w:val="22"/>
          <w:u w:val="single"/>
        </w:rPr>
        <w:tab/>
        <w:tab/>
        <w:tab/>
        <w:tab/>
        <w:tab/>
      </w:r>
    </w:p>
    <w:p>
      <w:pPr>
        <w:pStyle w:val="Normal"/>
        <w:keepNext w:val="true"/>
        <w:keepLines/>
        <w:jc w:val="both"/>
        <w:rPr>
          <w:sz w:val="22"/>
          <w:u w:val="single"/>
        </w:rPr>
      </w:pPr>
      <w:r>
        <w:rPr>
          <w:sz w:val="22"/>
          <w:u w:val="single"/>
        </w:rPr>
      </w:r>
    </w:p>
    <w:p>
      <w:pPr>
        <w:pStyle w:val="Normal"/>
        <w:keepNext w:val="true"/>
        <w:keepLines/>
        <w:jc w:val="both"/>
        <w:rPr/>
      </w:pPr>
      <w:r>
        <w:rPr>
          <w:sz w:val="22"/>
        </w:rPr>
        <w:t>Title:</w:t>
      </w:r>
      <w:r>
        <w:rPr>
          <w:sz w:val="22"/>
          <w:u w:val="single"/>
        </w:rPr>
        <w:tab/>
        <w:tab/>
        <w:tab/>
        <w:tab/>
        <w:tab/>
        <w:tab/>
      </w:r>
    </w:p>
    <w:p>
      <w:pPr>
        <w:pStyle w:val="Normal"/>
        <w:keepNext w:val="true"/>
        <w:keepLines/>
        <w:jc w:val="both"/>
        <w:rPr>
          <w:sz w:val="22"/>
          <w:u w:val="single"/>
        </w:rPr>
      </w:pPr>
      <w:r>
        <w:rPr>
          <w:sz w:val="22"/>
          <w:u w:val="single"/>
        </w:rPr>
      </w:r>
    </w:p>
    <w:p>
      <w:pPr>
        <w:pStyle w:val="Normal"/>
        <w:keepNext w:val="true"/>
        <w:keepLines/>
        <w:jc w:val="both"/>
        <w:rPr>
          <w:sz w:val="22"/>
        </w:rPr>
      </w:pPr>
      <w:r>
        <w:rPr>
          <w:sz w:val="22"/>
        </w:rPr>
        <w:t>Coral Power, L.L.C.</w:t>
      </w:r>
    </w:p>
    <w:p>
      <w:pPr>
        <w:pStyle w:val="Normal"/>
        <w:keepNext w:val="true"/>
        <w:keepLines/>
        <w:jc w:val="both"/>
        <w:rPr>
          <w:sz w:val="22"/>
        </w:rPr>
      </w:pPr>
      <w:r>
        <w:rPr>
          <w:sz w:val="22"/>
        </w:rPr>
        <w:t>909 Fannin, Suite 700</w:t>
      </w:r>
    </w:p>
    <w:p>
      <w:pPr>
        <w:pStyle w:val="Normal"/>
        <w:keepNext w:val="true"/>
        <w:keepLines/>
        <w:jc w:val="both"/>
        <w:rPr>
          <w:sz w:val="22"/>
        </w:rPr>
      </w:pPr>
      <w:r>
        <w:rPr>
          <w:sz w:val="22"/>
        </w:rPr>
        <w:t>Houston, Texas 77010</w:t>
      </w:r>
    </w:p>
    <w:p>
      <w:pPr>
        <w:pStyle w:val="Normal"/>
        <w:keepNext w:val="true"/>
        <w:keepLines/>
        <w:jc w:val="both"/>
        <w:rPr>
          <w:sz w:val="22"/>
        </w:rPr>
      </w:pPr>
      <w:r>
        <w:rPr>
          <w:sz w:val="22"/>
        </w:rPr>
      </w:r>
    </w:p>
    <w:p>
      <w:pPr>
        <w:pStyle w:val="Normal"/>
        <w:keepNext w:val="true"/>
        <w:keepLines/>
        <w:jc w:val="both"/>
        <w:rPr>
          <w:sz w:val="22"/>
        </w:rPr>
      </w:pPr>
      <w:r>
        <w:rPr>
          <w:sz w:val="22"/>
        </w:rPr>
        <w:t>Attention: Tom Seigler</w:t>
      </w:r>
    </w:p>
    <w:p>
      <w:pPr>
        <w:pStyle w:val="Normal"/>
        <w:keepNext w:val="true"/>
        <w:keepLines/>
        <w:jc w:val="both"/>
        <w:rPr>
          <w:sz w:val="22"/>
        </w:rPr>
      </w:pPr>
      <w:r>
        <w:rPr>
          <w:sz w:val="22"/>
        </w:rPr>
        <w:t>Fax#: 713 265-5672</w:t>
      </w:r>
      <w:r>
        <w:br w:type="page"/>
      </w:r>
    </w:p>
    <w:p>
      <w:pPr>
        <w:pStyle w:val="Normal"/>
        <w:jc w:val="center"/>
        <w:rPr>
          <w:b/>
          <w:sz w:val="22"/>
          <w:u w:val="single"/>
        </w:rPr>
      </w:pPr>
      <w:r>
        <w:rPr>
          <w:b/>
          <w:sz w:val="22"/>
          <w:u w:val="single"/>
        </w:rPr>
        <w:t>EXHIBIT “A”</w:t>
      </w:r>
    </w:p>
    <w:p>
      <w:pPr>
        <w:pStyle w:val="Normal"/>
        <w:jc w:val="both"/>
        <w:rPr>
          <w:b/>
          <w:sz w:val="22"/>
          <w:u w:val="single"/>
        </w:rPr>
      </w:pPr>
      <w:r>
        <w:rPr>
          <w:b/>
          <w:sz w:val="22"/>
          <w:u w:val="single"/>
        </w:rPr>
      </w:r>
    </w:p>
    <w:p>
      <w:pPr>
        <w:pStyle w:val="Normal"/>
        <w:jc w:val="both"/>
        <w:rPr>
          <w:sz w:val="22"/>
          <w:u w:val="single"/>
        </w:rPr>
      </w:pPr>
      <w:r>
        <w:rPr>
          <w:sz w:val="22"/>
          <w:u w:val="single"/>
        </w:rPr>
      </w:r>
    </w:p>
    <w:p>
      <w:pPr>
        <w:pStyle w:val="Normal"/>
        <w:autoSpaceDE w:val="false"/>
        <w:spacing w:lineRule="atLeast" w:line="240"/>
        <w:rPr>
          <w:sz w:val="22"/>
          <w:u w:val="single"/>
        </w:rPr>
      </w:pPr>
      <w:r>
        <w:rPr>
          <w:sz w:val="22"/>
          <w:u w:val="single"/>
        </w:rPr>
      </w:r>
    </w:p>
    <w:p>
      <w:pPr>
        <w:pStyle w:val="BodyText"/>
        <w:numPr>
          <w:ilvl w:val="0"/>
          <w:numId w:val="2"/>
        </w:numPr>
        <w:rPr/>
      </w:pPr>
      <w:r>
        <w:rPr/>
        <w:t>Unit 1 would be assigned out of a master agreement pursuant to which numerous units are being purchased.  The assignment would be made to a limited liability company organized in the State of Delaware (the “LLC”).  The LLC would be a special purpose entity, initially owned 100% by Enron North America Corp., and formed exclusively for the purposes of the Proposed Transaction.  The ready to ship date from the factory for Unit 1 will be no later than March 1</w:t>
      </w:r>
      <w:r>
        <w:rPr>
          <w:vertAlign w:val="superscript"/>
        </w:rPr>
        <w:t>st</w:t>
      </w:r>
      <w:r>
        <w:rPr/>
        <w:t>, 2001.  In consideration for the assignment of Unit 1, the LLC shall execute a demand note (the “ENA Note”) to ENA in the amount of $16,100,000.00 (U.S.) (the “Purchase Price”).  Following the date of the sale (“Sale Date”) of the Majority Interest (as hereinafter defined), ENA shall be responsible for any and all amounts due and payable (except for any sales, transfer, use and other taxes which might arise in connection with the assignment, sale and/or ownership of Unit 1 which shall be paid by the LLC or Coral) to the vendor of Unit 1 pursuant to the turbine purchase agreement (provided that such amounts are not attributable to any acts or omissions of Coral (including, without limitation, any change orders following the Sale Date)).</w:t>
      </w:r>
    </w:p>
    <w:p>
      <w:pPr>
        <w:pStyle w:val="BodyText"/>
        <w:rPr/>
      </w:pPr>
      <w:r>
        <w:rPr/>
      </w:r>
    </w:p>
    <w:p>
      <w:pPr>
        <w:pStyle w:val="Normal"/>
        <w:numPr>
          <w:ilvl w:val="0"/>
          <w:numId w:val="2"/>
        </w:numPr>
        <w:autoSpaceDE w:val="false"/>
        <w:spacing w:lineRule="atLeast" w:line="240"/>
        <w:rPr>
          <w:color w:val="000000"/>
          <w:sz w:val="22"/>
        </w:rPr>
      </w:pPr>
      <w:r>
        <w:rPr>
          <w:color w:val="000000"/>
          <w:sz w:val="22"/>
        </w:rPr>
        <w:t>Concurrent with the execution of definitive documentation for the Proposed Transaction, Coral shall purchase (via a limited liability company or a C corporation organized in the State of Delaware (the “Acquisition Entity)) 80% of the membership interests in the LLC (the “Majority Interest”) for $800.00 (U.S.).  Simultaneously with the purchase by the Acquisition Entity of the Majority Interest, Coral shall make a loan to the LLC in the amount of the Purchase Price and immediately upon receipt of such loaned proceeds, the LLC shall repay the ENA Note in its entirety.  In addition, the Acquisition Entity shall receive an option to purchase, and ENA shall obtain the right to sell, ENA’s remaining 20% LLC interest upon the commercial operations date of Unit 1 for the purchase price of $200.00 (U.S.).  As a condition to Coral’s purchase from ENA of the Majority Interests, ENA shall make minimal representations to Coral regarding title and liabilities of the LLC as are customary for such a transaction.</w:t>
      </w:r>
    </w:p>
    <w:p>
      <w:pPr>
        <w:pStyle w:val="Normal"/>
        <w:autoSpaceDE w:val="false"/>
        <w:spacing w:lineRule="atLeast" w:line="240"/>
        <w:rPr>
          <w:color w:val="000000"/>
          <w:sz w:val="22"/>
        </w:rPr>
      </w:pPr>
      <w:r>
        <w:rPr>
          <w:color w:val="000000"/>
          <w:sz w:val="22"/>
        </w:rPr>
      </w:r>
    </w:p>
    <w:p>
      <w:pPr>
        <w:pStyle w:val="Normal"/>
        <w:numPr>
          <w:ilvl w:val="0"/>
          <w:numId w:val="2"/>
        </w:numPr>
        <w:autoSpaceDE w:val="false"/>
        <w:spacing w:lineRule="atLeast" w:line="240"/>
        <w:rPr>
          <w:color w:val="000000"/>
          <w:sz w:val="22"/>
        </w:rPr>
      </w:pPr>
      <w:r>
        <w:rPr>
          <w:color w:val="000000"/>
          <w:sz w:val="22"/>
        </w:rPr>
        <w:t>The parties currently contemplate that the transactions contemplated in Paragraphs 1 and 2 above may change in order to provide for greater tax efficiency.</w:t>
      </w:r>
    </w:p>
    <w:p>
      <w:pPr>
        <w:pStyle w:val="Normal"/>
        <w:autoSpaceDE w:val="false"/>
        <w:spacing w:lineRule="atLeast" w:line="240"/>
        <w:rPr>
          <w:color w:val="000000"/>
          <w:sz w:val="22"/>
        </w:rPr>
      </w:pPr>
      <w:r>
        <w:rPr>
          <w:color w:val="000000"/>
          <w:sz w:val="22"/>
        </w:rPr>
      </w:r>
    </w:p>
    <w:p>
      <w:pPr>
        <w:pStyle w:val="Normal"/>
        <w:numPr>
          <w:ilvl w:val="0"/>
          <w:numId w:val="2"/>
        </w:numPr>
        <w:autoSpaceDE w:val="false"/>
        <w:spacing w:lineRule="atLeast" w:line="240"/>
        <w:rPr>
          <w:color w:val="000000"/>
          <w:sz w:val="22"/>
        </w:rPr>
      </w:pPr>
      <w:r>
        <w:rPr>
          <w:color w:val="000000"/>
          <w:sz w:val="22"/>
        </w:rPr>
        <w:t xml:space="preserve">The Limited Liability Company Agreement of the LLC (“Member Agreement”) shall provide (or be amended to provide) that Coral, as majority owner of the membership equity, be allowed to undertake such activities as it deems necessary for the development of the Facility, while ENA’s voting rights shall be limited. The Member Agreement shall further provide that ENA have no continuing obligation to fund costs incurred by either Coral or the LLC.  </w:t>
      </w:r>
    </w:p>
    <w:p>
      <w:pPr>
        <w:pStyle w:val="Normal"/>
        <w:autoSpaceDE w:val="false"/>
        <w:spacing w:lineRule="atLeast" w:line="240"/>
        <w:rPr>
          <w:color w:val="000000"/>
          <w:sz w:val="22"/>
        </w:rPr>
      </w:pPr>
      <w:r>
        <w:rPr>
          <w:color w:val="000000"/>
          <w:sz w:val="22"/>
        </w:rPr>
      </w:r>
    </w:p>
    <w:p>
      <w:pPr>
        <w:pStyle w:val="Normal"/>
        <w:numPr>
          <w:ilvl w:val="0"/>
          <w:numId w:val="2"/>
        </w:numPr>
        <w:autoSpaceDE w:val="false"/>
        <w:spacing w:lineRule="atLeast" w:line="240"/>
        <w:rPr>
          <w:color w:val="000000"/>
          <w:sz w:val="22"/>
        </w:rPr>
      </w:pPr>
      <w:r>
        <w:rPr>
          <w:color w:val="000000"/>
          <w:sz w:val="22"/>
        </w:rPr>
        <w:t>ENA shall provide Coral such development and technical assistance related to Unit 1 as Coral reasonably requests; provided, however, that (i) Coral shall have no recourse to ENA to the extent ENA declines to provide such assistance in its sole and absolute discretion, and (ii) Coral shall pay ENA for any internal or third party costs it incurs during the course of providing such assistance.</w:t>
      </w:r>
    </w:p>
    <w:p>
      <w:pPr>
        <w:pStyle w:val="Normal"/>
        <w:autoSpaceDE w:val="false"/>
        <w:spacing w:lineRule="atLeast" w:line="240"/>
        <w:rPr>
          <w:color w:val="000000"/>
          <w:sz w:val="22"/>
        </w:rPr>
      </w:pPr>
      <w:r>
        <w:rPr>
          <w:color w:val="000000"/>
          <w:sz w:val="22"/>
        </w:rPr>
      </w:r>
    </w:p>
    <w:p>
      <w:pPr>
        <w:pStyle w:val="Normal"/>
        <w:autoSpaceDE w:val="false"/>
        <w:spacing w:lineRule="atLeast" w:line="240"/>
        <w:ind w:start="360" w:end="0"/>
        <w:rPr>
          <w:color w:val="000000"/>
          <w:sz w:val="22"/>
        </w:rPr>
      </w:pPr>
      <w:r>
        <w:rPr>
          <w:color w:val="000000"/>
          <w:sz w:val="22"/>
        </w:rPr>
      </w:r>
    </w:p>
    <w:p>
      <w:pPr>
        <w:pStyle w:val="Normal"/>
        <w:autoSpaceDE w:val="false"/>
        <w:spacing w:lineRule="atLeast" w:line="240"/>
        <w:rPr>
          <w:color w:val="000000"/>
          <w:sz w:val="22"/>
        </w:rPr>
      </w:pPr>
      <w:r>
        <w:rPr>
          <w:color w:val="000000"/>
          <w:sz w:val="22"/>
        </w:rPr>
      </w:r>
    </w:p>
    <w:p>
      <w:pPr>
        <w:pStyle w:val="Normal"/>
        <w:autoSpaceDE w:val="false"/>
        <w:spacing w:lineRule="atLeast" w:line="240"/>
        <w:jc w:val="center"/>
        <w:rPr>
          <w:b/>
          <w:color w:val="000000"/>
          <w:sz w:val="22"/>
        </w:rPr>
      </w:pPr>
      <w:r>
        <w:rPr>
          <w:b/>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Coral_LOI_v.65_for_GenSet1.doc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Coral_LOI_v.65_for_GenSet1.doc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No1">
    <w:name w:val="No. 1"/>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2000-11-29T22:30:00Z</dcterms:created>
  <dc:creator>ECT</dc:creator>
  <dc:description/>
  <dc:language>en-CA</dc:language>
  <cp:lastModifiedBy>szisman</cp:lastModifiedBy>
  <cp:lastPrinted>2000-11-29T17:59:00Z</cp:lastPrinted>
  <dcterms:modified xsi:type="dcterms:W3CDTF">2000-11-29T22:30:00Z</dcterms:modified>
  <cp:revision>2</cp:revision>
  <dc:subject/>
  <dc:title>[ECT Letterhead]</dc:title>
</cp:coreProperties>
</file>