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Heading2"/>
        <w:ind w:hanging="0" w:start="0"/>
        <w:rPr/>
      </w:pPr>
      <w:r>
        <w:rPr/>
        <w:t>TEXAS</w:t>
      </w:r>
    </w:p>
    <w:tbl>
      <w:tblPr>
        <w:tblW w:w="10007" w:type="dxa"/>
        <w:jc w:val="start"/>
        <w:tblInd w:w="0" w:type="dxa"/>
        <w:tblLayout w:type="fixed"/>
        <w:tblCellMar>
          <w:top w:w="0" w:type="dxa"/>
          <w:start w:w="108" w:type="dxa"/>
          <w:bottom w:w="0" w:type="dxa"/>
          <w:end w:w="108" w:type="dxa"/>
        </w:tblCellMar>
      </w:tblPr>
      <w:tblGrid>
        <w:gridCol w:w="2178"/>
        <w:gridCol w:w="3780"/>
        <w:gridCol w:w="4049"/>
      </w:tblGrid>
      <w:tr>
        <w:trPr/>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c>
          <w:tcPr>
            <w:tcW w:w="378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IXC</w:t>
            </w:r>
          </w:p>
        </w:tc>
        <w:tc>
          <w:tcPr>
            <w:tcW w:w="4049"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CLEC</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Registration</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Register via letter to the commission; information must be kept current, including the types, scope and rates of services provided.</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apply for a certificate of operating authority (“COA”) or a service provider certificate of operating (“SPCOA”) authority to provide local exchange service; the SPCOA generally provides CLEC with the right to use its own facilities or purchase services of other providers for resale but the commission may condition certificates as it sees fit.</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Compliance With Slamming Rule</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 xml:space="preserve">Must obtain written, oral, or electronic verification of customer authorization of a change in carrier. </w:t>
            </w:r>
          </w:p>
        </w:tc>
        <w:tc>
          <w:tcPr>
            <w:tcW w:w="4049"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Records &amp; Reports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Maintain records of customers who switch carriers for minimum of 12 months; (2) File annual update of basic information, rates or services even if reporting no changes; (3) File a 5-year plan and annual reports on workforce diversity.</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File annual update of information provided in original application even if reporting no changes; (2) File a 5-year plan and annual reports on workforce diversity; (3) Inform commission of the total number of access lines serving on quarterly basis; (4) If billing on behalf of another service provider, billing entity must maintain record of such agreement with provider for 24 months after discontinuance of billing arrangement; (5) Provide commission and Caller ID Consumer Education Panel with caller ID materials.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Taxes, Assessments &amp; Fees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Gross Receipts Assessment: charge equal to 1/6 of 1% of gross receipts; (2) Telecommunications Infrastructure Fund: annual charge equal to 1.25% of total taxable receipts; (3) TX Universal Service Fund: monthly assessment based upon taxable telecommunications receipts for corresponding month; (4) Equalization Surcharge: collectable from intrastate long distance providers to fund a portion of the 911 service and rate equal to 3% of the customer’s charges for intrastate long distance; (5) Poison Control Surcharge: monthly surcharge equal to 3% of all intrastate long distance charges must be collected to fund the TX Poison Control Network.</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Gross Receipts Assessment: charge equal to 1/6 of 1% of gross receipts; (2) Telecommunications Infrastructure Fund: annual charge equal to 1.25% of total taxable receipts; (3) TX Universal Service Fund: monthly assessment based upon taxable telecommunications receipts for corresponding month; (4) Equalization Surcharge: collectable from intrastate long distance providers to fund a portion of the 911 service and rate equal to 3% of the customer’s charges for intrastate long distance [NOTE: not applicable if not providing intrastate long distance]; (5) Poison Control Surcharge: monthly surcharge equal to 3% of all intrastate long distance charges must be collected to fund the TX Poison Control Network [NOTE: not applicable if not providing intrastate long distance]; (6) Collect and remit the 911 emergency service fee for access lines served by CLEC in each jurisdiction to the appropriate 911 entity if providing local exchange service; (7) Municipal franchise fees may be payable for access lines served within boundaries of a municipality.</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Service Standards</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May refuse service to a customer already owing a debt for similar service; (2) May not require a deposit in excess of 1/6 of the estimated annual billings to customer and long distance cannot be included in estimated annual billings in order to calculate appropriate deposit amount; (3) May suspend or disconnect service after proper notice for (a) failure to pay bill or comply with deferred payment plan or (b) avoidance of toll blocking by incurring long distance charges after toll blocking implemented; (4) If toll blocking implemented, must still provide access to toll-free numbers; (5) Must provide free per-call blocking and per-line blocking if providing caller ID service; (6) Must provide customers with intraLATA equal access if proving in-region interLATA toll service.</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b/>
                <w:bCs/>
                <w:sz w:val="24"/>
                <w:szCs w:val="24"/>
              </w:rPr>
              <w:t>Customer Relations &amp; Communications</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Must give proper notice regarding suspension or disconnection of service; (2) Must give 24-hour notice when implementing toll blocking; (3) Before billing for any service, must inform customer of services being offered and obtain customer consent; (4) May share customer proprietary network information (“CPNI”) only with those affiliates who already provide a service offering to the customer; (5) Must obtain written, oral or electronic customer authorization to use or disclose CPNI to market service within a category of service to which the customer does not already subscribe from that CLEC; (6) Must provide a one-time notice to each customer regarding right to restrict use of, disclosure of , and access to CPNI.</w:t>
            </w:r>
          </w:p>
        </w:tc>
      </w:tr>
      <w:tr>
        <w:trPr/>
        <w:tc>
          <w:tcPr>
            <w:tcW w:w="10007" w:type="dxa"/>
            <w:gridSpan w:val="3"/>
            <w:tcBorders>
              <w:top w:val="single" w:sz="6" w:space="0" w:color="000000"/>
              <w:start w:val="single" w:sz="6" w:space="0" w:color="000000"/>
              <w:bottom w:val="single" w:sz="6" w:space="0" w:color="000000"/>
              <w:end w:val="single" w:sz="6" w:space="0" w:color="000000"/>
            </w:tcBorders>
          </w:tcPr>
          <w:p>
            <w:pPr>
              <w:pStyle w:val="Heading1"/>
              <w:ind w:hanging="0" w:start="0"/>
              <w:rPr/>
            </w:pPr>
            <w:r>
              <w:rPr/>
              <w:t>AFFILIATE TRANSACTIONS:  (A) Interaction between telecommunications service providers</w:t>
            </w:r>
            <w:r>
              <w:rPr>
                <w:b w:val="false"/>
                <w:bCs w:val="false"/>
              </w:rPr>
              <w:t>: (1) Annual reporting of affiliate transactions (</w:t>
            </w:r>
            <w:r>
              <w:rPr>
                <w:b w:val="false"/>
                <w:bCs w:val="false"/>
                <w:i/>
                <w:iCs/>
              </w:rPr>
              <w:t>e.g.,</w:t>
            </w:r>
            <w:r>
              <w:rPr>
                <w:b w:val="false"/>
                <w:bCs w:val="false"/>
              </w:rPr>
              <w:t xml:space="preserve"> service agreements and any other contract with an affiliate with value of $100,000 or more) only required if incumbent local exchange carrier (“ILEC”); (2) Without customer approval, CLEC not permitted to share CPNI with affiliated entities unless affiliated entities are already providing a service to customer; </w:t>
            </w:r>
            <w:r>
              <w:rPr/>
              <w:t>(B) Interaction between telecommunications service provider and non-telecommunications public utility affiliate</w:t>
            </w:r>
            <w:r>
              <w:rPr>
                <w:b w:val="false"/>
                <w:bCs w:val="false"/>
              </w:rPr>
              <w:t>: (1) No current rules governing interaction between gas utilities and affiliated telecom services provider; (2) Interaction of electric utilities and affiliated telecommunications service provider subject to commission’s code of conduct (</w:t>
            </w:r>
            <w:r>
              <w:rPr>
                <w:b w:val="false"/>
                <w:bCs w:val="false"/>
                <w:i/>
                <w:iCs/>
              </w:rPr>
              <w:t>e.g.</w:t>
            </w:r>
            <w:r>
              <w:rPr>
                <w:b w:val="false"/>
                <w:bCs w:val="false"/>
              </w:rPr>
              <w:t xml:space="preserve">, rules regarding separation of employees, facilities and resources; prohibition on cross-subsidizing unregulated activities of affiliates and joint marketing/advertising with unregulated affiliates; and information safeguards); </w:t>
            </w:r>
            <w:r>
              <w:rPr/>
              <w:t>(C) Interaction between a telecommunications service provider and non-utility, non-telecom affiliate</w:t>
            </w:r>
            <w:r>
              <w:rPr>
                <w:b w:val="false"/>
                <w:bCs w:val="false"/>
              </w:rPr>
              <w:t>: Restriction on CLEC’s use of CPNI when engaging in transactions with these affiliates as set forth above [NOTE: not applicable to IXC’s interaction with these affiliates].</w:t>
            </w:r>
          </w:p>
        </w:tc>
      </w:tr>
    </w:tbl>
    <w:p>
      <w:pPr>
        <w:pStyle w:val="Normal"/>
        <w:rPr>
          <w:sz w:val="24"/>
          <w:szCs w:val="24"/>
        </w:rPr>
      </w:pPr>
      <w:r>
        <w:rPr>
          <w:sz w:val="24"/>
          <w:szCs w:val="24"/>
        </w:rPr>
      </w:r>
    </w:p>
    <w:p>
      <w:pPr>
        <w:pStyle w:val="Heading2"/>
        <w:ind w:hanging="0" w:start="0"/>
        <w:rPr/>
      </w:pPr>
      <w:r>
        <w:rPr/>
        <w:t xml:space="preserve">NEW YORK </w:t>
      </w:r>
    </w:p>
    <w:tbl>
      <w:tblPr>
        <w:tblW w:w="10007" w:type="dxa"/>
        <w:jc w:val="start"/>
        <w:tblInd w:w="0" w:type="dxa"/>
        <w:tblLayout w:type="fixed"/>
        <w:tblCellMar>
          <w:top w:w="0" w:type="dxa"/>
          <w:start w:w="108" w:type="dxa"/>
          <w:bottom w:w="0" w:type="dxa"/>
          <w:end w:w="108" w:type="dxa"/>
        </w:tblCellMar>
      </w:tblPr>
      <w:tblGrid>
        <w:gridCol w:w="2178"/>
        <w:gridCol w:w="3780"/>
        <w:gridCol w:w="4049"/>
      </w:tblGrid>
      <w:tr>
        <w:trPr/>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c>
          <w:tcPr>
            <w:tcW w:w="378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IXC</w:t>
            </w:r>
          </w:p>
        </w:tc>
        <w:tc>
          <w:tcPr>
            <w:tcW w:w="4049"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CLEC</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 xml:space="preserve">Construction &amp; Ownership Of Telephone Lines </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No construction of telephone lines permissible without commission approval, possession of certificate of public convenience and necessity, and requisite consent of appropriate municipal authorities; (2) No franchise nor any right under a franchise to own or operate a telephone line may be assigned, transferred or leased without commission approval.</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No construction of telephone lines permissible without commission approval, possession of certificate of public convenience and necessity, and requisite consent of appropriate municipal authorities; (2) No franchise nor any right under a franchise to own or operate a telephone line may be assigned, transferred or leased without commission approval; (3) Must stencil and number poles.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Underground Telephone Construction</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rPr>
                <w:b/>
                <w:bCs/>
                <w:sz w:val="24"/>
                <w:szCs w:val="24"/>
              </w:rPr>
            </w:pPr>
            <w:r>
              <w:rPr>
                <w:b/>
                <w:bCs/>
                <w:sz w:val="24"/>
                <w:szCs w:val="24"/>
              </w:rPr>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All new subsurface facilities must be constructed in accordance with commission’s standards.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b/>
                <w:bCs/>
                <w:sz w:val="24"/>
                <w:szCs w:val="24"/>
              </w:rPr>
              <w:t>Records &amp; Reports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Must allow commission access to records, documents, etc., related to company’s facilities and operations [NOTE: commission has broad discovery power]; (2) Submit monthly report regarding the Targeted Accessibility Fund; (3) Records should be preserved for approximately 6 years.</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 xml:space="preserve">(1) Must allow commission access to records, documents, etc. [NOTE: commission has broad discovery power]; (2) May generally file financial data based on Generally Accepted Accounting Principles (“GAAP”); (3) Must file Telecommunications Competition Monitoring Report by March 31 of every succeeding year; (4) Submit Assignment Plan (i.e., plan detailing how undesignated partial payments by customer will be assigned) to commission for approval; (5) All records and accounts must be retained at company’s principal office; (6) If annual gross operating revenues exceed $2,000,000, must file with the commission 3 copies of procedures governing the contracting for procurement of services, equipment or materials to be used in operations; (7) Must file with the commission one copy of every proposed cost-plus contract or agreement for the construction, improvement, extension or maintenance of utility plan [NOTE: the term utility is used to describe a telephone corporation such as a CLEC]; (8) File a copy of directory of subscribers from time to time with the commission. </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Service Standards</w:t>
            </w:r>
          </w:p>
        </w:tc>
        <w:tc>
          <w:tcPr>
            <w:tcW w:w="3780" w:type="dxa"/>
            <w:tcBorders>
              <w:top w:val="single" w:sz="6" w:space="0" w:color="000000"/>
              <w:start w:val="single" w:sz="6" w:space="0" w:color="000000"/>
              <w:bottom w:val="single" w:sz="6" w:space="0" w:color="000000"/>
              <w:end w:val="single" w:sz="6" w:space="0" w:color="000000"/>
            </w:tcBorders>
          </w:tcPr>
          <w:p>
            <w:pPr>
              <w:pStyle w:val="Normal"/>
              <w:rPr/>
            </w:pPr>
            <w:r>
              <w:rPr>
                <w:sz w:val="24"/>
                <w:szCs w:val="24"/>
              </w:rPr>
              <w:t>(1) Must furnish and provide adequate service with just and reasonable charges; (2) No rate discrimination permitted except that free or reduced service may be given to certain persons (</w:t>
            </w:r>
            <w:r>
              <w:rPr>
                <w:i/>
                <w:iCs/>
                <w:sz w:val="24"/>
                <w:szCs w:val="24"/>
              </w:rPr>
              <w:t>e.g.</w:t>
            </w:r>
            <w:r>
              <w:rPr>
                <w:sz w:val="24"/>
                <w:szCs w:val="24"/>
              </w:rPr>
              <w:t>, officers, employees, agents, pensioners, surgeons, etc.) – NOTE: (a) this provision not applicable to state, municipal or federal contracts and commission and (b) commission may authorize free or reduced rates for a limited period of time to introduce a present or potential customer to a service not previously received by customer; (3) Comply with customer service requirements if alternate operator service provider or payphone provider; (4) If simply own a switch but not providing local exchange service through the switch, classified as IXC and subject to corresponding requirements – BUT NOTE -- if providing local exchange through the switch or on a resale basis, will be subject to CLEC requirements as well.</w:t>
            </w:r>
          </w:p>
        </w:tc>
        <w:tc>
          <w:tcPr>
            <w:tcW w:w="4049" w:type="dxa"/>
            <w:tcBorders>
              <w:top w:val="single" w:sz="6" w:space="0" w:color="000000"/>
              <w:start w:val="single" w:sz="6" w:space="0" w:color="000000"/>
              <w:bottom w:val="single" w:sz="6" w:space="0" w:color="000000"/>
              <w:end w:val="single" w:sz="6" w:space="0" w:color="000000"/>
            </w:tcBorders>
          </w:tcPr>
          <w:p>
            <w:pPr>
              <w:pStyle w:val="Normal"/>
              <w:rPr/>
            </w:pPr>
            <w:r>
              <w:rPr>
                <w:sz w:val="24"/>
                <w:szCs w:val="24"/>
              </w:rPr>
              <w:t>(1) Must furnish and provide adequate service with just and reasonable charges; (2) No rate discrimination permitted except that free or reduced service may be given to certain persons (</w:t>
            </w:r>
            <w:r>
              <w:rPr>
                <w:i/>
                <w:iCs/>
                <w:sz w:val="24"/>
                <w:szCs w:val="24"/>
              </w:rPr>
              <w:t>e.g.</w:t>
            </w:r>
            <w:r>
              <w:rPr>
                <w:sz w:val="24"/>
                <w:szCs w:val="24"/>
              </w:rPr>
              <w:t>, officers, employees, agents, pensioners, surgeons, etc.) – NOTE: (a) this provision not applicable to state, municipal or federal contracts and commission and (b) commission may authorize free or reduced rates for a limited period of time to introduce a present or potential customer to a service not previously received by customer; (3) Provide service to any willing customer within defined service territory without undue discrimination or preference; (4) Provide access to 911, Telecommunications Relay Service and Lifeline service; (5) Comply with commission’s Telephone Fair Practices rules (</w:t>
            </w:r>
            <w:r>
              <w:rPr>
                <w:i/>
                <w:iCs/>
                <w:sz w:val="24"/>
                <w:szCs w:val="24"/>
              </w:rPr>
              <w:t>e.g</w:t>
            </w:r>
            <w:r>
              <w:rPr>
                <w:sz w:val="24"/>
                <w:szCs w:val="24"/>
              </w:rPr>
              <w:t>., rules governing provision of telephone service to residential customers and specifying charges to be included under basic local exchange service, etc.); (6) Comply with commission’s common carrier rules (</w:t>
            </w:r>
            <w:r>
              <w:rPr>
                <w:i/>
                <w:iCs/>
                <w:sz w:val="24"/>
                <w:szCs w:val="24"/>
              </w:rPr>
              <w:t>e.g</w:t>
            </w:r>
            <w:r>
              <w:rPr>
                <w:sz w:val="24"/>
                <w:szCs w:val="24"/>
              </w:rPr>
              <w:t>., provide publicly offered conduit services on demand to any similarly situated user on substantially similar terms, subject to availability of facilities and capacity); (7) Comply with commission’s Statement of Policy on Privacy in Telecommunications; (8) Comply with commission’s Open Network Architecture: (a) carriers must provide to all users, affiliated and unaffiliated, equal terms and conditions for services and (b) carriers must restrict access to their customer’s customer proprietary network information (“CPNI”), to the extent that it is not publicly available and the customer has not authorized its release; (9) Provide reasonable interconnection for the joint provision of service to any duly certificated carrier requesting the same; (10) Comply with commission’s service quality standards; (11) Must provide intraLATA presubscription (allows a subscriber to select one toll carrier to use without dialing a multiple digit access code); (12) May disconnect basic local telephone service only for nonpayment of basic local telephone service charges.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b/>
                <w:bCs/>
                <w:sz w:val="24"/>
                <w:szCs w:val="24"/>
              </w:rPr>
              <w:t>Customer Relations &amp; Communications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 xml:space="preserve">(1) Must exempt residences of subscribing individuals aged 62 or above from cash deposit requirements unless show subscriber to be bad credit risk; (2) Must offer residential customer, aged 62 or above, quarterly payment plan as alternative to monthly billing if annual billing less than $150; (3) Must sell or lease special telecommunication equipment to hearing impaired persons; (4) No unauthorized switching of customers permitted – new provider must insert notice on or with customer’s first bill for which change is effective or must send separate notice within 60 days informing of change; </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Must exempt residences of subscribing individuals aged 62 or above from cash deposit requirements unless show subscriber to be bad credit risk; (2) Must offer residential customer, aged 62 or above, quarterly payment plan as alternative to monthly billing if annual billing less than $150; (3) Must sell or lease special telecommunication equipment to hearing impaired persons; (4) Must provide annual notice to customers by via insert in billing statement and by publishing notice in local telephone directories informing customers of general business law relating to consumers’ rights with regard to telemarketers and automatic dialing-announcing devices; (5) No unauthorized switching of customers permitted – new provider must insert notice on or with customer’s first bill for which change is effective or must send separate notice within 60 days informing of change; (6) Must distribute directories to customers; (7) If holding subscriber deposits, must allow simple interest to accrue on the deposit to customer’s benefit.</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Tariffs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 xml:space="preserve">(1) Must print and file with commission schedules showing rates, rentals and charges for services subject to commission’s jurisdiction and make tariff schedules accessible to the public; (2) Amendments must be filed on 10 business days’ notice. </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Must print and file with commission schedules showing rates, rentals and charges for services subject to commission’s jurisdiction; (2) Amendments must be filed on 10 business days’ notice.</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Taxes, Assessments &amp; Fees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 xml:space="preserve">(1) Targeted Accessibility Fund: Must fund (includes appropriations for Enhanced 911, the Telecommunications Relay Service, and Lifeline service; (2) </w:t>
            </w:r>
          </w:p>
        </w:tc>
        <w:tc>
          <w:tcPr>
            <w:tcW w:w="4049"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Audits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Commission has the authority to initiate a management and operations audit.</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Commission has the authority to initiate a management and operations audit.</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Stock Ownership, Transfers &amp; Loans</w:t>
            </w:r>
          </w:p>
        </w:tc>
        <w:tc>
          <w:tcPr>
            <w:tcW w:w="3780" w:type="dxa"/>
            <w:tcBorders>
              <w:top w:val="single" w:sz="6" w:space="0" w:color="000000"/>
              <w:start w:val="single" w:sz="6" w:space="0" w:color="000000"/>
              <w:bottom w:val="single" w:sz="6" w:space="0" w:color="000000"/>
              <w:end w:val="single" w:sz="6" w:space="0" w:color="000000"/>
            </w:tcBorders>
          </w:tcPr>
          <w:p>
            <w:pPr>
              <w:pStyle w:val="Normal"/>
              <w:rPr/>
            </w:pPr>
            <w:r>
              <w:rPr>
                <w:sz w:val="24"/>
                <w:szCs w:val="24"/>
              </w:rPr>
              <w:t>(1) May not acquire capital stock of a telephone corporation (</w:t>
            </w:r>
            <w:r>
              <w:rPr>
                <w:i/>
                <w:iCs/>
                <w:sz w:val="24"/>
                <w:szCs w:val="24"/>
              </w:rPr>
              <w:t>e.g</w:t>
            </w:r>
            <w:r>
              <w:rPr>
                <w:sz w:val="24"/>
                <w:szCs w:val="24"/>
              </w:rPr>
              <w:t>., IXC or CLEC) without permission from commission; (2) Except where stock transferred or held for purpose of collateral security, no stock corporation (other than a telephone corporation) may, without commission’s consent, acquire more than 10% of the voting capital stock issued by any telephone corporation; (3) Must seek commission’s approval to issue stocks, bonds, notes, or other evidences of indebtedness payable at periods of more than 12 months after the date thereof and generally if desiring to issue stock, bonds or other forms of indebtedness; (4) Must seek commission’s approval to loan money, stock, bonds, etc., to any company owning or holding, directly or indirectly, any stock of the telephone corporation; (5) Must seek commission’s approval if a parent corporation issues stocks, bonds, etc. and such parent corporation secures the issuance with assets of the IXC or the IXC guarantees the issuance; (6) After the issuance of any indebtedness, must file notice with the commission specifying details of the same .</w:t>
            </w:r>
          </w:p>
        </w:tc>
        <w:tc>
          <w:tcPr>
            <w:tcW w:w="4049" w:type="dxa"/>
            <w:tcBorders>
              <w:top w:val="single" w:sz="6" w:space="0" w:color="000000"/>
              <w:start w:val="single" w:sz="6" w:space="0" w:color="000000"/>
              <w:bottom w:val="single" w:sz="6" w:space="0" w:color="000000"/>
              <w:end w:val="single" w:sz="6" w:space="0" w:color="000000"/>
            </w:tcBorders>
          </w:tcPr>
          <w:p>
            <w:pPr>
              <w:pStyle w:val="Normal"/>
              <w:rPr/>
            </w:pPr>
            <w:r>
              <w:rPr>
                <w:sz w:val="24"/>
                <w:szCs w:val="24"/>
              </w:rPr>
              <w:t>(1) May not acquire capital stock of a telephone corporation (</w:t>
            </w:r>
            <w:r>
              <w:rPr>
                <w:i/>
                <w:iCs/>
                <w:sz w:val="24"/>
                <w:szCs w:val="24"/>
              </w:rPr>
              <w:t>e.g</w:t>
            </w:r>
            <w:r>
              <w:rPr>
                <w:sz w:val="24"/>
                <w:szCs w:val="24"/>
              </w:rPr>
              <w:t>., IXC or CLEC) without permission from commission; (2) Except where stock transferred or held for purpose of collateral security, no stock corporation (other than a telephone corporation) may, without commission’s consent, acquire more than 10% of the voting capital stock issued by any telephone corporation; (3) Must seek commission’s approval to issue stocks, bonds, notes, or other evidences of indebtedness payable at periods of more than 12 months after the date thereof; (4) Must seek commission’s approval to loan money, stock, bonds, etc., to any company owning or holding, directly or indirectly, any stock of the telephone corporation.</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Consumer Complaint Procedures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Will be required to submit information regarding the merits of a customer’s complaint filed with the commission; (2) May be required to provide copies of bills, statements, field reports, etc., related to the complaint; (3) May be subject to onsite inspection or test by commission.</w:t>
            </w:r>
          </w:p>
        </w:tc>
        <w:tc>
          <w:tcPr>
            <w:tcW w:w="4049"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r>
      <w:tr>
        <w:trPr/>
        <w:tc>
          <w:tcPr>
            <w:tcW w:w="10007" w:type="dxa"/>
            <w:gridSpan w:val="3"/>
            <w:tcBorders>
              <w:top w:val="single" w:sz="6" w:space="0" w:color="000000"/>
              <w:start w:val="single" w:sz="6" w:space="0" w:color="000000"/>
              <w:bottom w:val="single" w:sz="6" w:space="0" w:color="000000"/>
              <w:end w:val="single" w:sz="6" w:space="0" w:color="000000"/>
            </w:tcBorders>
          </w:tcPr>
          <w:p>
            <w:pPr>
              <w:pStyle w:val="Heading1"/>
              <w:ind w:hanging="0" w:start="0"/>
              <w:rPr/>
            </w:pPr>
            <w:r>
              <w:rPr/>
              <w:t xml:space="preserve">AFFILIATE TRANSACTIONS: </w:t>
            </w:r>
          </w:p>
          <w:p>
            <w:pPr>
              <w:pStyle w:val="Heading1"/>
              <w:ind w:hanging="0" w:start="0"/>
              <w:rPr>
                <w:b w:val="false"/>
                <w:bCs w:val="false"/>
              </w:rPr>
            </w:pPr>
            <w:r>
              <w:rPr>
                <w:b w:val="false"/>
                <w:bCs w:val="false"/>
              </w:rPr>
              <w:t>(1) Affiliates cannot share information without customer consent to the release of such information.</w:t>
            </w:r>
          </w:p>
          <w:p>
            <w:pPr>
              <w:pStyle w:val="Heading1"/>
              <w:ind w:hanging="0" w:start="0"/>
              <w:rPr>
                <w:b w:val="false"/>
                <w:bCs w:val="false"/>
              </w:rPr>
            </w:pPr>
            <w:r>
              <w:rPr>
                <w:b w:val="false"/>
                <w:bCs w:val="false"/>
              </w:rPr>
              <w:t>(2) No management, construction, engineering or similar contract made with an affiliated interest is deemed effective unless it has been filed with the commission (but not necessarily approved) and the charge for the service at issue must not exceed the reasonable cost of performing said service. [NOTE: management contract is construed broadly].</w:t>
            </w:r>
          </w:p>
          <w:p>
            <w:pPr>
              <w:pStyle w:val="Heading1"/>
              <w:ind w:hanging="0" w:start="0"/>
              <w:rPr/>
            </w:pPr>
            <w:r>
              <w:rPr>
                <w:b w:val="false"/>
                <w:bCs w:val="false"/>
              </w:rPr>
              <w:t>(3) Commission approval is necessary to transfer or lease to any other person or corporation (</w:t>
            </w:r>
            <w:r>
              <w:rPr>
                <w:b w:val="false"/>
                <w:bCs w:val="false"/>
                <w:i/>
                <w:iCs/>
              </w:rPr>
              <w:t>e.g</w:t>
            </w:r>
            <w:r>
              <w:rPr>
                <w:b w:val="false"/>
                <w:bCs w:val="false"/>
              </w:rPr>
              <w:t>., affiliated interest) “any part of [the IXC’s or CLEC’s] works or system” or to contract for the operation of “its works or system” [NOTE: some transfers are effective without commission’s written consent (</w:t>
            </w:r>
            <w:r>
              <w:rPr>
                <w:b w:val="false"/>
                <w:bCs w:val="false"/>
                <w:i/>
                <w:iCs/>
              </w:rPr>
              <w:t>e.g</w:t>
            </w:r>
            <w:r>
              <w:rPr>
                <w:b w:val="false"/>
                <w:bCs w:val="false"/>
              </w:rPr>
              <w:t xml:space="preserve">., if cost is under certain amount)]. </w:t>
            </w:r>
          </w:p>
          <w:p>
            <w:pPr>
              <w:pStyle w:val="Heading1"/>
              <w:ind w:hanging="0" w:start="0"/>
              <w:rPr>
                <w:b w:val="false"/>
                <w:bCs w:val="false"/>
              </w:rPr>
            </w:pPr>
            <w:r>
              <w:rPr>
                <w:b w:val="false"/>
                <w:bCs w:val="false"/>
              </w:rPr>
            </w:r>
          </w:p>
          <w:p>
            <w:pPr>
              <w:pStyle w:val="Heading1"/>
              <w:ind w:hanging="0" w:start="0"/>
              <w:rPr/>
            </w:pPr>
            <w:r>
              <w:rPr/>
              <w:t xml:space="preserve">NOTE: </w:t>
            </w:r>
            <w:r>
              <w:rPr>
                <w:b w:val="false"/>
                <w:bCs w:val="false"/>
              </w:rPr>
              <w:t xml:space="preserve">The commission has broad discovery powers, and therefore, is able to access an affiliate’s books as well as those of its holding company.  Practically, however, such requests have not been made in the past in connection with a competitive communications provider; such a request would, more than likely, be directed to a utility operating under cost-of-service regulation. </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Heading2"/>
        <w:ind w:hanging="0" w:start="0"/>
        <w:rPr/>
      </w:pPr>
      <w:r>
        <w:rPr/>
        <w:t>ILLINOIS</w:t>
      </w:r>
    </w:p>
    <w:tbl>
      <w:tblPr>
        <w:tblW w:w="10007" w:type="dxa"/>
        <w:jc w:val="start"/>
        <w:tblInd w:w="0" w:type="dxa"/>
        <w:tblLayout w:type="fixed"/>
        <w:tblCellMar>
          <w:top w:w="0" w:type="dxa"/>
          <w:start w:w="108" w:type="dxa"/>
          <w:bottom w:w="0" w:type="dxa"/>
          <w:end w:w="108" w:type="dxa"/>
        </w:tblCellMar>
      </w:tblPr>
      <w:tblGrid>
        <w:gridCol w:w="2178"/>
        <w:gridCol w:w="3780"/>
        <w:gridCol w:w="4049"/>
      </w:tblGrid>
      <w:tr>
        <w:trPr/>
        <w:tc>
          <w:tcPr>
            <w:tcW w:w="2178"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c>
          <w:tcPr>
            <w:tcW w:w="378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IXC</w:t>
            </w:r>
          </w:p>
        </w:tc>
        <w:tc>
          <w:tcPr>
            <w:tcW w:w="4049"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CLEC</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Registration</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Apply for and possess certificate of service authority before transacting any business in Illinois.</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Apply for and possess certificate of service authority before transacting any business in Illinois.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Designation</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Annually designate an agent to receive process, notices and demands; (2) Annually identify chief executive officer; (3) If agent or chief executive officer changes, submit report to commission within 15 days of the change.</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Annually designate an agent to receive process, notices and demands; (2) Annually identify chief executive officer; (3) If agent or chief executive officer changes, submit report to commission within 15 days of the change; (4) Must designate an officer(s) to supervise maintenance and preservation of records.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b/>
                <w:bCs/>
                <w:sz w:val="24"/>
                <w:szCs w:val="24"/>
              </w:rPr>
              <w:t>Records &amp; Reports</w:t>
            </w:r>
          </w:p>
        </w:tc>
        <w:tc>
          <w:tcPr>
            <w:tcW w:w="3780" w:type="dxa"/>
            <w:tcBorders>
              <w:top w:val="single" w:sz="6" w:space="0" w:color="000000"/>
              <w:start w:val="single" w:sz="6" w:space="0" w:color="000000"/>
              <w:bottom w:val="single" w:sz="6" w:space="0" w:color="000000"/>
              <w:end w:val="single" w:sz="6" w:space="0" w:color="000000"/>
            </w:tcBorders>
          </w:tcPr>
          <w:p>
            <w:pPr>
              <w:pStyle w:val="Normal"/>
              <w:rPr/>
            </w:pPr>
            <w:r>
              <w:rPr>
                <w:sz w:val="24"/>
                <w:szCs w:val="24"/>
              </w:rPr>
              <w:t>(1) All books and records should be maintained in Illinois – but waiver permitted; (2) Required to furnish commission with any information necessary to carrying out business as telecommunications provider (</w:t>
            </w:r>
            <w:r>
              <w:rPr>
                <w:i/>
                <w:iCs/>
                <w:sz w:val="24"/>
                <w:szCs w:val="24"/>
              </w:rPr>
              <w:t>e.g.,</w:t>
            </w:r>
            <w:r>
              <w:rPr>
                <w:sz w:val="24"/>
                <w:szCs w:val="24"/>
              </w:rPr>
              <w:t xml:space="preserve"> maps, profiles, reports, etc.) in the event commission requests such information.</w:t>
            </w:r>
          </w:p>
        </w:tc>
        <w:tc>
          <w:tcPr>
            <w:tcW w:w="4049" w:type="dxa"/>
            <w:tcBorders>
              <w:top w:val="single" w:sz="6" w:space="0" w:color="000000"/>
              <w:start w:val="single" w:sz="6" w:space="0" w:color="000000"/>
              <w:bottom w:val="single" w:sz="6" w:space="0" w:color="000000"/>
              <w:end w:val="single" w:sz="6" w:space="0" w:color="000000"/>
            </w:tcBorders>
          </w:tcPr>
          <w:p>
            <w:pPr>
              <w:pStyle w:val="Normal"/>
              <w:rPr/>
            </w:pPr>
            <w:r>
              <w:rPr>
                <w:sz w:val="24"/>
                <w:szCs w:val="24"/>
              </w:rPr>
              <w:t>(1) All books and records should be maintained in Illinois – but waiver permitted; (2) Required to furnish commission with any information necessary to carrying out business as telecommunications provider (</w:t>
            </w:r>
            <w:r>
              <w:rPr>
                <w:i/>
                <w:iCs/>
                <w:sz w:val="24"/>
                <w:szCs w:val="24"/>
              </w:rPr>
              <w:t>e.g.,</w:t>
            </w:r>
            <w:r>
              <w:rPr>
                <w:sz w:val="24"/>
                <w:szCs w:val="24"/>
              </w:rPr>
              <w:t xml:space="preserve"> maps, profiles, reports, etc.) in the event commission requests such information; (3) Additional record-keeping requirements (42-page index) that specify categories of records that must be retained, for how long, and whether they may be microfilmed; (4) Must comply with Uniform System of Accounts [NOTE: Typically waived provided the CLEC maintains its records in accordance with GAAP and FASB]; (5) Must file implementation reports relating to the implementation of  911 services at commission’s request; (6) Compliance with reporting requirements pertaining to interconnection arrangements.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sz w:val="24"/>
                <w:szCs w:val="24"/>
              </w:rPr>
            </w:pPr>
            <w:r>
              <w:rPr>
                <w:sz w:val="24"/>
                <w:szCs w:val="24"/>
              </w:rPr>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c>
          <w:tcPr>
            <w:tcW w:w="4049"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sz w:val="24"/>
                <w:szCs w:val="24"/>
              </w:rPr>
            </w:pPr>
            <w:r>
              <w:rPr>
                <w:sz w:val="24"/>
                <w:szCs w:val="24"/>
              </w:rPr>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c>
          <w:tcPr>
            <w:tcW w:w="4049" w:type="dxa"/>
            <w:tcBorders>
              <w:top w:val="single" w:sz="6" w:space="0" w:color="000000"/>
              <w:start w:val="single" w:sz="6" w:space="0" w:color="000000"/>
              <w:bottom w:val="single" w:sz="6" w:space="0" w:color="000000"/>
              <w:end w:val="single" w:sz="6" w:space="0" w:color="000000"/>
            </w:tcBorders>
          </w:tcPr>
          <w:p>
            <w:pPr>
              <w:pStyle w:val="Normal"/>
              <w:snapToGrid w:val="false"/>
              <w:rPr>
                <w:sz w:val="24"/>
                <w:szCs w:val="24"/>
              </w:rPr>
            </w:pPr>
            <w:r>
              <w:rPr>
                <w:sz w:val="24"/>
                <w:szCs w:val="24"/>
              </w:rPr>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Tariffs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Must file tariff with the commission before permitted to provide telecommunications service in Illinois; (2) Permitted to offer interactive video learning tariffs for the exclusive use of qualified educational institutions; (3) May negotiate with customers or potential customers to provide services on different terms and rates than those on file with commission – but any agreements must be filed with commission within 10 days after execution thereof.</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Must file tariff with the commission before permitted to provide telecommunications service in Illinois; (2) Permitted to offer interactive video learning tariffs for the exclusive use of qualified educational institutions; (3) May negotiate with customers or potential customers to provide services on different terms and rates than those on file with commission – but any agreements must be filed with commission within 10 days after execution thereof.</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b/>
                <w:bCs/>
                <w:sz w:val="24"/>
                <w:szCs w:val="24"/>
              </w:rPr>
              <w:t>Customer Relations &amp; Communications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In the event of increases or decreases in rates or charges, must provide affected customers with notice by mail or publication in a newspaper of general circulation.</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In the event of increases or decreases in rates or charges, must provide affected customers with notice by mail or publication in a newspaper of general circulation.</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Service Standards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May choose to provide presubscription service or may be required to do so [NOTE: obligation may be waived upon lack of technical feasibility or where costs outweigh benefits]; (2) If offering a local measured service calling plan, must offer either: (a) flat rate local calling service to residential customer without factoring frequency or duration into the charge for local calls; (b) residential calls to points within untimed calling zone approved by commission are not charged for duration; or (c) a low income residential Universal Service Assistance Program; (3) Prohibited from providing video programming services in Illinois if so prohibited under federal law or to an affiliated entity; (4)  Must comply with verification rules and procedures when implementing subscriber change in telecommunications carrier or addition to a subscriber service.</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May choose to provide presubscription service or may be required to do so [NOTE: obligation may be waived upon lack of technical feasibility or where costs outweigh benefits]; (2) If offering a local measured service calling plan, must offer either: (a) flat rate local calling service to residential customer without factoring frequency or duration into the charge for local calls; (b) residential calls to points within untimed calling zone approved by commission are not charged for duration; or (c) a low income residential Universal Service Assistance Program; (3) Prohibited from providing video programming services in Illinois if so prohibited under federal law or to an affiliated entity; (4) Must comply with verification rules and procedures when implementing subscriber change in telecommunications carrier or addition to a subscriber service; (5) Comply with procedures governing the establishment of credit, billing, deposits, termination of service and issuance of telephone directories [NOTE: typically waived upon application to the commission]; (6) Comply with technical, material and quality of work standards when providing inside wiring for connections to service; (7) Compliance with operator services standards if providing the same; (8) Compliance with presubscription restrictions if providing pay-per-call services; (9) Compliance with specific interconnection procedures for special access and private line, switched transport and line-side interconnection.</w:t>
            </w:r>
          </w:p>
        </w:tc>
      </w:tr>
      <w:tr>
        <w:trPr>
          <w:trHeight w:val="903" w:hRule="atLeast"/>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Taxes, Assessments &amp; Fees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Public Utility Fund: must contribute through an annual tax equal to 8% of gross revenues; (2) Municipality taxes: may be taxed by a municipality in which it does business.</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 xml:space="preserve">(1) Public Utility Fund: must contribute through an annual tax equal to 8% of gross revenues; (2) Municipality taxes: may be taxed by a municipality in which it does business; (3) 911 Emergency System program; (4) Telecommunications Access For Persons With Disabilities: must provide a telecommunications device for persons with disabilities [NOTE: corresponding tariff requirements]; (5) Telecommunications Relay Services: must provide a telecommunications relay services to connect persons with disabilities with persons of normal hearing [NOTE: may be waived if compliance found to be technologically infeasible; corresponding tariff requirements]; (6) Link Up Program: must offer special discounts and payment options to qualifying low-income subscribers; (7) Universal Telephone Service Assistance Program: must offer special supplemental assistance to qualifying low-income subscribers; (8) Lifeline Program: must implement a low-income assistance program characterized by reductions in access line and toll charges.  </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Audits &amp; Inspections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permit access to commission to inspect and examine books and records if it so desires [NOTE: Must reimburse commission for reasonable costs and expenses associated with audit and inspection of out-of-state documents].</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permit access to commission to inspect and examine books and records if it so desires. [NOTE: Must reimburse commission for reasonable costs and expenses associated with audit and inspection of out-of-state documents.]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Protection Of Underground Public Utility Facilities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participate in the Statewide One-Call Notice System, which provides for the exchange of information regarding underground facilities between excavators and utilities.</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participate in the Statewide One-Call Notice System, which provides for the exchange of information regarding underground facilities between excavators and utilities.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Construction Of Electric Power &amp; Communication Lines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Must apply for certificate of public convenience and necessity prior to constructing any lines; (2) Construction must be done in accordance with accepted engineering practices for local conditions. [NOTE: The commission, in the event of space limitations, temporary construction, or changes in technology may waive this section.]</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(1) Must apply for certificate of public convenience and necessity prior to constructing any lines; (2) Construction must be done in accordance with accepted engineering practices for local conditions. [NOTE: The commission, in the event of space limitations, temporary construction, or changes in technology may waive this section.]</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Right of Way Precondemnation Negotiations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comply with standards regarding negotiation protocol when negotiating the acquisition of a land right-of-way easement.</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comply with standards regarding negotiation protocol when negotiating the acquisition of a land right-of-way easement.</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Fire Protection &amp; Emergency Standards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comply with rules regarding the safeguarding of telecommunications facilities from major interruptions in service related to fire and assure proper emergency response and recovery mechanisms in place.</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comply with rules regarding the safeguarding of telecommunications facilities from major interruptions in service related to fire and assure proper emergency response and recovery mechanisms in place.</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Per Se Impediments To The Development Of Competition</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Prohibited actions include: (1) Unreasonably refusing, delaying or providing inferior connections to another carrier; (2) Unreasonably impairing the speed, quality or efficiency of services used by another carrier; (3) Unreasonably denying requests for data regarding the technical design and features, geographic coverage and information necessary for equipment design and traffic capabilities of the local exchange network, except for proprietary information; (4) Unreasonably delaying access in connecting another carrier to the local exchange network whose products or services require novel or specialized access requirements; (5) Unreasonably refusing or delaying access by any person to another carrier; (6) Unreasonably acting or failing to act in a manner that has a substantial adverse impact on the ability of another carrier to provide service to its customers; (7) Unreasonably failing to offer service to customers in a local exchange with the intent to delay or impede the ability of the ILEC to provide interLATA services; and (8) Violating the terms of or unreasonably delaying implementation of an interconnection agreement in a manner that unreasonably delays or impedes the availability of telecommunications services to consumers.</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Prohibited actions include: (1) Unreasonably refusing, delaying or providing inferior connections to another carrier; (2) Unreasonably impairing the speed, quality or efficiency of services used by another carrier; (3) Unreasonably denying requests for data regarding the technical design and features, geographic coverage and information necessary for equipment design and traffic capabilities of the local exchange network, except for proprietary information; (4) Unreasonably delaying access in connecting another carrier to the local exchange network whose products or services require novel or specialized access requirements; (5) Unreasonably refusing or delaying access by any person to another carrier; (6) Unreasonably acting or failing to act in a manner that has a substantial adverse impact on the ability of another carrier to provide service to its customers; (7) Unreasonably failing to offer service to customers in a local exchange with the intent to delay or impede the ability of the ILEC to provide interLATA services; and (8) Violating the terms of or unreasonably delaying implementation of an interconnection agreement in a manner that unreasonably delays or impedes the availability of telecommunications services to consumers.</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Discrimination</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May not discriminate against or delay any conversation, message, or other transmission with any other telecommunications carrier.</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May not discriminate against or delay any conversation, message, or other transmission with any other telecommunications carrier.</w:t>
            </w:r>
          </w:p>
        </w:tc>
      </w:tr>
      <w:tr>
        <w:trPr/>
        <w:tc>
          <w:tcPr>
            <w:tcW w:w="217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Waivers</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May apply for a waiver or modification of the application of the commission’s rules, procedures, or notice requirements to reduce economic burdens of regulation.</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May apply for a waiver or modification of the application of the commission’s rules, procedures, or notice requirements to reduce economic burdens of regulation.</w:t>
            </w:r>
          </w:p>
        </w:tc>
      </w:tr>
      <w:tr>
        <w:trPr/>
        <w:tc>
          <w:tcPr>
            <w:tcW w:w="2178"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b/>
                <w:bCs/>
                <w:sz w:val="24"/>
                <w:szCs w:val="24"/>
              </w:rPr>
              <w:t>Complaint Procedure</w:t>
            </w:r>
          </w:p>
        </w:tc>
        <w:tc>
          <w:tcPr>
            <w:tcW w:w="3780"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abide by commission’s complaint procedure in the event a complaint is filed against the IXC or the IXC files a complaint against another telecommunications provider regulated by the commission.</w:t>
            </w:r>
          </w:p>
        </w:tc>
        <w:tc>
          <w:tcPr>
            <w:tcW w:w="4049" w:type="dxa"/>
            <w:tcBorders>
              <w:top w:val="single" w:sz="6" w:space="0" w:color="000000"/>
              <w:start w:val="single" w:sz="6" w:space="0" w:color="000000"/>
              <w:bottom w:val="single" w:sz="6" w:space="0" w:color="000000"/>
              <w:end w:val="single" w:sz="6" w:space="0" w:color="000000"/>
            </w:tcBorders>
          </w:tcPr>
          <w:p>
            <w:pPr>
              <w:pStyle w:val="Normal"/>
              <w:rPr>
                <w:sz w:val="24"/>
                <w:szCs w:val="24"/>
              </w:rPr>
            </w:pPr>
            <w:r>
              <w:rPr>
                <w:sz w:val="24"/>
                <w:szCs w:val="24"/>
              </w:rPr>
              <w:t>Must abide by commission’s complaint procedure in the event a complaint is filed against the CLEC or the CLEC files a complaint against another telecommunications provider regulated by the commission.</w:t>
            </w:r>
          </w:p>
        </w:tc>
      </w:tr>
      <w:tr>
        <w:trPr/>
        <w:tc>
          <w:tcPr>
            <w:tcW w:w="10007" w:type="dxa"/>
            <w:gridSpan w:val="3"/>
            <w:tcBorders>
              <w:top w:val="single" w:sz="6" w:space="0" w:color="000000"/>
              <w:start w:val="single" w:sz="6" w:space="0" w:color="000000"/>
              <w:bottom w:val="single" w:sz="6" w:space="0" w:color="000000"/>
              <w:end w:val="single" w:sz="6" w:space="0" w:color="000000"/>
            </w:tcBorders>
          </w:tcPr>
          <w:p>
            <w:pPr>
              <w:pStyle w:val="Heading1"/>
              <w:ind w:hanging="0" w:start="0"/>
              <w:rPr/>
            </w:pPr>
            <w:r>
              <w:rPr/>
              <w:t xml:space="preserve">AFFILIATE TRANSACTIONS: </w:t>
            </w:r>
            <w:r>
              <w:rPr>
                <w:b w:val="false"/>
                <w:bCs w:val="false"/>
              </w:rPr>
              <w:t>Affiliate rules applicable only to transactions involving non-competitive telecommunications carriers under commission jurisdiction (</w:t>
            </w:r>
            <w:r>
              <w:rPr>
                <w:b w:val="false"/>
                <w:bCs w:val="false"/>
                <w:i/>
                <w:iCs/>
              </w:rPr>
              <w:t>e.g</w:t>
            </w:r>
            <w:r>
              <w:rPr>
                <w:b w:val="false"/>
                <w:bCs w:val="false"/>
              </w:rPr>
              <w:t xml:space="preserve">., ILEC) and their affiliated entities.  </w:t>
            </w:r>
          </w:p>
        </w:tc>
      </w:tr>
    </w:tbl>
    <w:p>
      <w:pPr>
        <w:pStyle w:val="Normal"/>
        <w:rPr>
          <w:sz w:val="24"/>
          <w:szCs w:val="24"/>
        </w:rPr>
      </w:pPr>
      <w:r>
        <w:rPr>
          <w:sz w:val="24"/>
          <w:szCs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4"/>
      <w:szCs w:val="24"/>
    </w:rPr>
  </w:style>
  <w:style w:type="paragraph" w:styleId="Heading2">
    <w:name w:val="heading 2"/>
    <w:basedOn w:val="Normal"/>
    <w:next w:val="Normal"/>
    <w:qFormat/>
    <w:pPr>
      <w:keepNext w:val="true"/>
      <w:numPr>
        <w:ilvl w:val="1"/>
        <w:numId w:val="1"/>
      </w:numPr>
      <w:outlineLvl w:val="1"/>
    </w:pPr>
    <w:rPr>
      <w:b/>
      <w:bCs/>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2000-08-23T11:17:00Z</dcterms:created>
  <dc:creator>lleibma</dc:creator>
  <dc:description/>
  <dc:language>en-CA</dc:language>
  <cp:lastModifiedBy>lleibma</cp:lastModifiedBy>
  <cp:lastPrinted>2000-08-23T11:48:00Z</cp:lastPrinted>
  <dcterms:modified xsi:type="dcterms:W3CDTF">2000-08-23T15:58:00Z</dcterms:modified>
  <cp:revision>29</cp:revision>
  <dc:subject/>
  <dc:title>Texas</dc:title>
</cp:coreProperties>
</file>