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0"/>
        <w:tabs>
          <w:tab w:val="clear" w:pos="720"/>
          <w:tab w:val="center" w:pos="4140" w:leader="none"/>
          <w:tab w:val="right" w:pos="8280" w:leader="none"/>
        </w:tabs>
        <w:spacing w:lineRule="auto" w:line="360" w:before="0" w:after="14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rPr>
          <w:u w:val="single"/>
        </w:rPr>
      </w:pPr>
      <w:r>
        <w:rPr>
          <w:u w:val="single"/>
        </w:rPr>
        <w:t>AND</w:t>
      </w:r>
    </w:p>
    <w:p>
      <w:pPr>
        <w:pStyle w:val="Heading10"/>
        <w:tabs>
          <w:tab w:val="clear" w:pos="720"/>
          <w:tab w:val="center" w:pos="4140" w:leader="none"/>
          <w:tab w:val="right" w:pos="8280" w:leader="none"/>
        </w:tabs>
        <w:spacing w:lineRule="auto" w:line="360" w:before="0" w:after="14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jc w:val="center"/>
        <w:rPr>
          <w:u w:val="single"/>
        </w:rPr>
      </w:pPr>
      <w:r>
        <w:rPr>
          <w:u w:val="single"/>
        </w:rPr>
      </w:r>
    </w:p>
    <w:p>
      <w:pPr>
        <w:pStyle w:val="Heading10"/>
        <w:tabs>
          <w:tab w:val="left" w:pos="720" w:leader="none"/>
          <w:tab w:val="left" w:pos="1440" w:leader="none"/>
        </w:tabs>
        <w:spacing w:lineRule="auto" w:line="360"/>
        <w:rPr/>
      </w:pPr>
      <w:r>
        <w:rPr/>
        <w:t>BETWEEN:-</w:t>
      </w:r>
    </w:p>
    <w:p>
      <w:pPr>
        <w:pStyle w:val="Heading10"/>
        <w:tabs>
          <w:tab w:val="left" w:pos="720" w:leader="none"/>
          <w:tab w:val="left" w:pos="1440" w:leader="none"/>
        </w:tabs>
        <w:spacing w:lineRule="auto" w:line="360"/>
        <w:jc w:val="center"/>
        <w:rPr/>
      </w:pPr>
      <w:r>
        <w:rPr/>
        <w:t>DABHOL POWER COMPANY</w:t>
      </w:r>
    </w:p>
    <w:p>
      <w:pPr>
        <w:pStyle w:val="Heading10"/>
        <w:tabs>
          <w:tab w:val="left" w:pos="720" w:leader="none"/>
          <w:tab w:val="left" w:pos="1440" w:leader="none"/>
        </w:tabs>
        <w:spacing w:lineRule="auto" w:line="360" w:before="280" w:after="0"/>
        <w:jc w:val="end"/>
        <w:rPr>
          <w:u w:val="single"/>
        </w:rPr>
      </w:pPr>
      <w:r>
        <w:rPr>
          <w:u w:val="single"/>
        </w:rPr>
        <w:t>Claimant</w:t>
      </w:r>
    </w:p>
    <w:p>
      <w:pPr>
        <w:pStyle w:val="Heading10"/>
        <w:tabs>
          <w:tab w:val="left" w:pos="720" w:leader="none"/>
          <w:tab w:val="left" w:pos="1440" w:leader="none"/>
        </w:tabs>
        <w:spacing w:lineRule="auto" w:line="360"/>
        <w:jc w:val="center"/>
        <w:rPr/>
      </w:pPr>
      <w:r>
        <w:rPr/>
        <w:t>-and-</w:t>
      </w:r>
    </w:p>
    <w:p>
      <w:pPr>
        <w:pStyle w:val="Heading10"/>
        <w:tabs>
          <w:tab w:val="left" w:pos="720" w:leader="none"/>
          <w:tab w:val="left" w:pos="1440" w:leader="none"/>
        </w:tabs>
        <w:spacing w:lineRule="auto" w:line="360" w:before="280" w:after="0"/>
        <w:jc w:val="center"/>
        <w:rPr/>
      </w:pPr>
      <w:r>
        <w:rPr/>
        <w:t>THE STATE OF MAHARASHTRA</w:t>
      </w:r>
    </w:p>
    <w:p>
      <w:pPr>
        <w:pStyle w:val="Heading10"/>
        <w:tabs>
          <w:tab w:val="left" w:pos="720" w:leader="none"/>
          <w:tab w:val="left" w:pos="1440" w:leader="none"/>
        </w:tabs>
        <w:spacing w:lineRule="auto" w:line="360" w:before="280" w:after="0"/>
        <w:jc w:val="end"/>
        <w:rPr>
          <w:u w:val="single"/>
        </w:rPr>
      </w:pPr>
      <w:r>
        <w:rPr>
          <w:u w:val="single"/>
        </w:rPr>
        <w:t>Respondent</w:t>
      </w:r>
    </w:p>
    <w:p>
      <w:pPr>
        <w:pStyle w:val="Heading10"/>
        <w:tabs>
          <w:tab w:val="left" w:pos="720" w:leader="none"/>
          <w:tab w:val="left" w:pos="1440" w:leader="none"/>
        </w:tabs>
        <w:spacing w:lineRule="auto" w:line="360"/>
        <w:jc w:val="center"/>
        <w:rPr>
          <w:b w:val="false"/>
          <w:u w:val="single"/>
        </w:rPr>
      </w:pPr>
      <w:r>
        <w:rPr>
          <w:b w:val="false"/>
          <w:u w:val="single"/>
        </w:rPr>
      </w:r>
    </w:p>
    <w:tbl>
      <w:tblPr>
        <w:tblW w:w="4856" w:type="dxa"/>
        <w:jc w:val="center"/>
        <w:tblInd w:w="0"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0"/>
        <w:rPr>
          <w:kern w:val="0"/>
          <w:u w:val="single"/>
        </w:rPr>
      </w:pPr>
      <w:r>
        <w:rPr>
          <w:kern w:val="0"/>
          <w:u w:val="single"/>
        </w:rPr>
      </w:r>
    </w:p>
    <w:p>
      <w:pPr>
        <w:pStyle w:val="Recitals"/>
        <w:numPr>
          <w:ilvl w:val="0"/>
          <w:numId w:val="3"/>
        </w:numPr>
        <w:ind w:hanging="0" w:start="0"/>
        <w:rPr/>
      </w:pPr>
      <w:r>
        <w:rPr>
          <w:u w:val="single"/>
        </w:rPr>
        <w:t>General</w:t>
      </w:r>
    </w:p>
    <w:p>
      <w:pPr>
        <w:pStyle w:val="1LevelPara"/>
        <w:numPr>
          <w:ilvl w:val="0"/>
          <w:numId w:val="18"/>
        </w:numPr>
        <w:ind w:hanging="0" w:start="0" w:end="0"/>
        <w:rPr/>
      </w:pPr>
      <w:r>
        <w:rPr/>
        <w:t>This Notice of Arbitration, pertaining to a Supplemental State Support Agreement between the Claimant and the Respondent made as a deed on 27</w:t>
      </w:r>
      <w:r>
        <w:rPr>
          <w:vertAlign w:val="superscript"/>
        </w:rPr>
        <w:t>th</w:t>
      </w:r>
      <w:r>
        <w:rPr/>
        <w:t xml:space="preserve"> July 1996 (“the Supplemental GOM Support Agreement”), is served along with a Notice of Arbitration in respect of the disputes on differences arising out of or in connection with a State Support Agreement between the Claimant and the Respondent made as a deed on 24</w:t>
      </w:r>
      <w:r>
        <w:rPr>
          <w:vertAlign w:val="superscript"/>
        </w:rPr>
        <w:t>th</w:t>
      </w:r>
      <w:r>
        <w:rPr/>
        <w:t xml:space="preserve"> June 1994 (as amended in terms of Clause 5.1 of the Supplemental GOM Support Agreement) (“the GOM Support Agreement”).  This Notice of Arbitration raises the same issues as are raised in the Notice of Arbitration in respect of the GOM Support Agreement.</w:t>
      </w:r>
    </w:p>
    <w:p>
      <w:pPr>
        <w:pStyle w:val="Recitals"/>
        <w:numPr>
          <w:ilvl w:val="0"/>
          <w:numId w:val="3"/>
        </w:numPr>
        <w:ind w:hanging="0" w:start="0"/>
        <w:rPr/>
      </w:pPr>
      <w:r>
        <w:rPr>
          <w:u w:val="single"/>
        </w:rPr>
        <w:t>Demand for Arbitration</w:t>
      </w:r>
    </w:p>
    <w:p>
      <w:pPr>
        <w:pStyle w:val="1LevelPara"/>
        <w:numPr>
          <w:ilvl w:val="0"/>
          <w:numId w:val="18"/>
        </w:numPr>
        <w:ind w:hanging="0" w:start="0" w:end="0"/>
        <w:rPr/>
      </w:pPr>
      <w:r>
        <w:rPr/>
        <w:t>Dabhol Power Company, the Claimant herein, hereby demands that the disputes and differences which have arisen between it and The State of Maharashtra, the Respondent herein, arising out of or in connection with the Supplemental GOM Support Agreement (“the Dispute”) be referred to arbitration pursuant to, and in accordance with, the provisions of the arbitration agreement between the parties set out in Clause 5.2 of the Supplemental GOM Support Agreement and the Arbitration Rules of the United Nations Commission on International Trade Law (set out in resolution 35/52 on adopted by the United Nations General Assembly on 15</w:t>
      </w:r>
      <w:r>
        <w:rPr>
          <w:vertAlign w:val="superscript"/>
        </w:rPr>
        <w:t>th</w:t>
      </w:r>
      <w:r>
        <w:rPr/>
        <w:t xml:space="preserve"> December 1976) (“the UNCITRAL Arbitration Rules”).</w:t>
      </w:r>
    </w:p>
    <w:p>
      <w:pPr>
        <w:pStyle w:val="Recitals"/>
        <w:numPr>
          <w:ilvl w:val="0"/>
          <w:numId w:val="3"/>
        </w:numPr>
        <w:ind w:hanging="0" w:start="0"/>
        <w:rPr/>
      </w:pPr>
      <w:r>
        <w:rPr>
          <w:u w:val="single"/>
        </w:rPr>
        <w:t>Definitions and Abbreviations</w:t>
      </w:r>
    </w:p>
    <w:p>
      <w:pPr>
        <w:pStyle w:val="1LevelPara"/>
        <w:numPr>
          <w:ilvl w:val="0"/>
          <w:numId w:val="18"/>
        </w:numPr>
        <w:ind w:hanging="0" w:start="0" w:end="0"/>
        <w:rPr/>
      </w:pPr>
      <w:r>
        <w:rPr/>
        <w:t>Save where the context requires otherwise, capitalised terms which are not defined in this Notice of Arbitration shall bear the meanings ascribed to them in:-</w:t>
      </w:r>
    </w:p>
    <w:p>
      <w:pPr>
        <w:pStyle w:val="1LevelPara"/>
        <w:numPr>
          <w:ilvl w:val="0"/>
          <w:numId w:val="0"/>
        </w:numPr>
        <w:ind w:hanging="0" w:start="720" w:end="0"/>
        <w:rPr/>
      </w:pPr>
      <w:r>
        <w:rPr/>
        <w:t>(1)</w:t>
        <w:tab/>
        <w:t xml:space="preserve">Clause 1.1 of the GOM Support Agreement; and </w:t>
      </w:r>
    </w:p>
    <w:p>
      <w:pPr>
        <w:pStyle w:val="1LevelPara"/>
        <w:numPr>
          <w:ilvl w:val="0"/>
          <w:numId w:val="0"/>
        </w:numPr>
        <w:ind w:hanging="0" w:start="720" w:end="0"/>
        <w:rPr/>
      </w:pPr>
      <w:r>
        <w:rPr/>
        <w:t>(2)</w:t>
        <w:tab/>
        <w:t>Clause 1.1 of a Power Purchase Agreement entered into between the Claimant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on 26</w:t>
      </w:r>
      <w:r>
        <w:rPr>
          <w:vertAlign w:val="superscript"/>
        </w:rPr>
        <w:t>th</w:t>
      </w:r>
      <w:r>
        <w:rPr/>
        <w:t xml:space="preserve"> July 1996 and on 9</w:t>
      </w:r>
      <w:r>
        <w:rPr>
          <w:vertAlign w:val="superscript"/>
        </w:rPr>
        <w:t>th</w:t>
      </w:r>
      <w:r>
        <w:rPr/>
        <w:t xml:space="preserve"> December 1998, respectively) (“the PPA” and “the MSEB”, respectively).</w:t>
      </w:r>
    </w:p>
    <w:p>
      <w:pPr>
        <w:pStyle w:val="Recitals"/>
        <w:numPr>
          <w:ilvl w:val="0"/>
          <w:numId w:val="3"/>
        </w:numPr>
        <w:ind w:hanging="0" w:start="0"/>
        <w:rPr/>
      </w:pPr>
      <w:r>
        <w:rPr>
          <w:u w:val="single"/>
        </w:rPr>
        <w:t>Names and Addresses of the Parties</w:t>
      </w:r>
    </w:p>
    <w:p>
      <w:pPr>
        <w:pStyle w:val="1LevelPara"/>
        <w:numPr>
          <w:ilvl w:val="0"/>
          <w:numId w:val="18"/>
        </w:numPr>
        <w:ind w:hanging="0" w:start="0"/>
        <w:rPr/>
      </w:pPr>
      <w:r>
        <w:rPr/>
        <w:t>(1)</w:t>
        <w:tab/>
        <w:t>The Claimant is the Dabhol Power Company, a private company with unlimited liability incorporated in India under the Companies Act 1956, whose registered office and address is at Enron Centre, Plot No. C-2, G Block, Bandra-Kurla Complex, Bandra East, Mumbai - 400 051, India.</w:t>
      </w:r>
    </w:p>
    <w:p>
      <w:pPr>
        <w:pStyle w:val="1LevelPara"/>
        <w:numPr>
          <w:ilvl w:val="0"/>
          <w:numId w:val="0"/>
        </w:numPr>
        <w:ind w:hanging="0" w:start="720" w:end="0"/>
        <w:rPr/>
      </w:pPr>
      <w:r>
        <w:rPr/>
        <w:t>(2)</w:t>
        <w:tab/>
        <w:t>The Respondent is The State of Maharashtra, acting through the Secretary to the Government of Maharashtra (Industries, Energy and Labour Department), whose principal office and address is at Mantralaya, Mumbai - 400 032, India.</w:t>
      </w:r>
    </w:p>
    <w:p>
      <w:pPr>
        <w:pStyle w:val="Recitals"/>
        <w:numPr>
          <w:ilvl w:val="0"/>
          <w:numId w:val="3"/>
        </w:numPr>
        <w:ind w:hanging="0" w:start="0"/>
        <w:rPr/>
      </w:pPr>
      <w:r>
        <w:rPr>
          <w:u w:val="single"/>
        </w:rPr>
        <w:t>Capacity of the Claimant</w:t>
      </w:r>
    </w:p>
    <w:p>
      <w:pPr>
        <w:pStyle w:val="1LevelPara"/>
        <w:numPr>
          <w:ilvl w:val="0"/>
          <w:numId w:val="18"/>
        </w:numPr>
        <w:ind w:hanging="0" w:start="0" w:end="0"/>
        <w:rPr/>
      </w:pPr>
      <w:r>
        <w:rPr/>
        <w:t>The Claimant herein serves this Notice of Arbitration and commences the references to arbitration begun in terms of this Notice of Arbitration, for itself and as a trustee for Foreign Investors in accordance with Clause 5.2 of the Supplemental GOM Support Agreement, in terms of which the provisions of Clause 8.2(b) of the GOM Support Agreement were incorporated into the Supplemental GOM Support Agreement.</w:t>
      </w:r>
    </w:p>
    <w:p>
      <w:pPr>
        <w:pStyle w:val="Recitals"/>
        <w:numPr>
          <w:ilvl w:val="0"/>
          <w:numId w:val="3"/>
        </w:numPr>
        <w:ind w:hanging="0" w:start="0"/>
        <w:rPr/>
      </w:pPr>
      <w:r>
        <w:rPr>
          <w:u w:val="single"/>
        </w:rPr>
        <w:t>Arbitration Agreement Invoked</w:t>
      </w:r>
    </w:p>
    <w:p>
      <w:pPr>
        <w:pStyle w:val="1LevelPara"/>
        <w:numPr>
          <w:ilvl w:val="0"/>
          <w:numId w:val="18"/>
        </w:numPr>
        <w:ind w:hanging="0" w:start="0" w:end="0"/>
        <w:rPr/>
      </w:pPr>
      <w:r>
        <w:rPr/>
        <w:t>The arbitration agreement which is invoked by the Claimant is contained in Clause 5.2 of the Supplemental GOM Support Agreement in terms of which the arbitration agreement set out in Clauses 11.1 to 11.3 of the GOM Support Agreement was incorporated into the Supplemental GOM Support Agreement.  The text of the arbitration agreement set out in Clauses 11.1 to 11.3 of the GOM Support Agreement is set out in the Annexure to this Notice of Arbitration. The parties’ arbitration agreement provides that any reference to arbitration begun pursuant thereto shall be held in London and shall be conducted in accordance with the UNCITRAL Arbitration Rules and English law (as the procedural law of the reference to arbitration).  The parties’ arbitration agreement further provides, pursuant to Clause 11.2, that no arbitrator shall be a national of India or the United States of America, and, pursuant to Clause 11.3, that the arbitration shall be conducted in the English language.</w:t>
      </w:r>
    </w:p>
    <w:p>
      <w:pPr>
        <w:pStyle w:val="Recitals"/>
        <w:numPr>
          <w:ilvl w:val="0"/>
          <w:numId w:val="3"/>
        </w:numPr>
        <w:ind w:hanging="0" w:start="0"/>
        <w:rPr/>
      </w:pPr>
      <w:r>
        <w:rPr>
          <w:u w:val="single"/>
        </w:rPr>
        <w:t>The Contract</w:t>
      </w:r>
    </w:p>
    <w:p>
      <w:pPr>
        <w:pStyle w:val="1LevelPara"/>
        <w:numPr>
          <w:ilvl w:val="0"/>
          <w:numId w:val="18"/>
        </w:numPr>
        <w:ind w:hanging="0" w:start="0" w:end="0"/>
        <w:rPr/>
      </w:pPr>
      <w:r>
        <w:rPr/>
        <w:t xml:space="preserve">The contract out of or in connection with which the Dispute has arisen is the Supplemental GOM Support Agreement. </w:t>
      </w:r>
    </w:p>
    <w:p>
      <w:pPr>
        <w:pStyle w:val="Recitals"/>
        <w:numPr>
          <w:ilvl w:val="0"/>
          <w:numId w:val="3"/>
        </w:numPr>
        <w:ind w:hanging="0" w:start="0"/>
        <w:rPr/>
      </w:pPr>
      <w:r>
        <w:rPr>
          <w:u w:val="single"/>
        </w:rPr>
        <w:t>General Nature of the Claim and the Relief or Remedy Sought</w:t>
      </w:r>
    </w:p>
    <w:p>
      <w:pPr>
        <w:pStyle w:val="1LevelPara"/>
        <w:numPr>
          <w:ilvl w:val="0"/>
          <w:numId w:val="18"/>
        </w:numPr>
        <w:ind w:hanging="0" w:start="0" w:end="0"/>
        <w:rPr/>
      </w:pPr>
      <w:r>
        <w:rPr/>
        <w:t xml:space="preserve">The Claimant sets out below the general nature of its claim in respect of the Dispute, indicates the amount involved in the claim and describes the relief or remedy sought by it. The claim and the relief or remedy sought by the Claimant will be particularised in due course in the Statement of Claim herein served in accordance with Article 18 of the UNCITRAL Arbitration Rules. </w:t>
      </w:r>
    </w:p>
    <w:p>
      <w:pPr>
        <w:pStyle w:val="Recitals"/>
        <w:numPr>
          <w:ilvl w:val="0"/>
          <w:numId w:val="0"/>
        </w:numPr>
        <w:ind w:firstLine="720" w:start="-720" w:end="0"/>
        <w:rPr/>
      </w:pPr>
      <w:r>
        <w:rPr>
          <w:b w:val="false"/>
        </w:rPr>
        <w:t>(1)</w:t>
        <w:tab/>
      </w:r>
      <w:r>
        <w:rPr>
          <w:b w:val="false"/>
          <w:u w:val="single"/>
        </w:rPr>
        <w:t>Material Provisions of the Supplemental GOM Support Agreement</w:t>
      </w:r>
    </w:p>
    <w:p>
      <w:pPr>
        <w:pStyle w:val="1LevelPara"/>
        <w:numPr>
          <w:ilvl w:val="0"/>
          <w:numId w:val="18"/>
        </w:numPr>
        <w:ind w:hanging="0" w:start="0" w:end="0"/>
        <w:rPr/>
      </w:pPr>
      <w:r>
        <w:rPr/>
        <w:t>The provisions of the Supplemental GOM Support Agreement which are most directly material to the Claimant’s claim are those set out in Clause 2 thereof.  The text of these provisions is set out in paragraph 10 below.  The Claimant reserves the right to refer in its Statement of Claim to the provisions of the Supplemental GOM Support Agreement set out in paragraph 10 below for their full effect, both individually and cumulatively and/or in conjunction with, alternatively taken in the context of, the provisions of the GOM Support Agreement.  The Claimant further reserves the right to refer in its Statement of Claim to such other of the provisions of the Supplemental GOM Support Agreement and/or the GOM Support Agreement as may be necessary as appropriate.</w:t>
      </w:r>
    </w:p>
    <w:p>
      <w:pPr>
        <w:pStyle w:val="1LevelPara"/>
        <w:numPr>
          <w:ilvl w:val="0"/>
          <w:numId w:val="18"/>
        </w:numPr>
        <w:ind w:hanging="0" w:start="0" w:end="0"/>
        <w:rPr/>
      </w:pPr>
      <w:r>
        <w:rPr/>
        <w:t>(1)</w:t>
        <w:tab/>
        <w:t>Clause 2.1:</w:t>
      </w:r>
    </w:p>
    <w:p>
      <w:pPr>
        <w:pStyle w:val="Body2"/>
        <w:tabs>
          <w:tab w:val="clear" w:pos="1247"/>
          <w:tab w:val="left" w:pos="1350" w:leader="none"/>
        </w:tabs>
        <w:spacing w:lineRule="auto" w:line="240"/>
        <w:ind w:start="1440" w:end="0"/>
        <w:rPr/>
      </w:pPr>
      <w:r>
        <w:rPr>
          <w:i/>
          <w:sz w:val="22"/>
        </w:rPr>
        <w:t>“</w:t>
      </w:r>
      <w:r>
        <w:rPr>
          <w:rFonts w:cs="Times" w:ascii="Times" w:hAnsi="Times"/>
          <w:i/>
          <w:sz w:val="22"/>
        </w:rPr>
        <w:t>This Agreement shall be effective on the date hereof and shall continue in full force and effect until it is terminated pursuant to the provisions of this Agreement. GOM and DPC acknowledge and agree that the terms and conditions of the State Support Agreement and this Agreement shall, subject to the other provisions hereof, apply with immediate effect to the entire Project as amended by this Agreement and the Modified PPA.”</w:t>
      </w:r>
    </w:p>
    <w:p>
      <w:pPr>
        <w:pStyle w:val="Body1"/>
        <w:ind w:firstLine="153" w:end="0"/>
        <w:rPr>
          <w:rFonts w:ascii="Times" w:hAnsi="Times" w:cs="Times"/>
          <w:sz w:val="22"/>
        </w:rPr>
      </w:pPr>
      <w:r>
        <w:rPr>
          <w:rFonts w:cs="Times" w:ascii="Times" w:hAnsi="Times"/>
          <w:sz w:val="22"/>
        </w:rPr>
        <w:t>(2)</w:t>
        <w:tab/>
        <w:t>Clause 2.2:</w:t>
      </w:r>
    </w:p>
    <w:p>
      <w:pPr>
        <w:pStyle w:val="Body2"/>
        <w:tabs>
          <w:tab w:val="clear" w:pos="1247"/>
          <w:tab w:val="left" w:pos="1350" w:leader="none"/>
        </w:tabs>
        <w:spacing w:lineRule="auto" w:line="240"/>
        <w:ind w:start="1440" w:end="0"/>
        <w:rPr>
          <w:rFonts w:ascii="Times" w:hAnsi="Times" w:cs="Times"/>
          <w:i/>
          <w:i/>
          <w:sz w:val="22"/>
        </w:rPr>
      </w:pPr>
      <w:r>
        <w:rPr>
          <w:rFonts w:cs="Times" w:ascii="Times" w:hAnsi="Times"/>
          <w:i/>
          <w:sz w:val="22"/>
        </w:rPr>
        <w:t>“</w:t>
      </w:r>
      <w:r>
        <w:rPr>
          <w:rFonts w:cs="Times" w:ascii="Times" w:hAnsi="Times"/>
          <w:i/>
          <w:sz w:val="22"/>
        </w:rPr>
        <w:t>GOM hereby affirms it steadfast commitment to the development of the Project and its approval of DPC’s proposals for Phase II. GOM confirms its commitments to assisting DPC in obtaining all the necessary Clearances for the satisfaction of the various conditions precedent to Phase II to be contained in the Modified PPA.”</w:t>
      </w:r>
    </w:p>
    <w:p>
      <w:pPr>
        <w:pStyle w:val="Body1"/>
        <w:keepNext w:val="true"/>
        <w:ind w:firstLine="158" w:start="562" w:end="0"/>
        <w:rPr>
          <w:rFonts w:ascii="Times" w:hAnsi="Times" w:cs="Times"/>
          <w:sz w:val="22"/>
        </w:rPr>
      </w:pPr>
      <w:r>
        <w:rPr>
          <w:rFonts w:cs="Times" w:ascii="Times" w:hAnsi="Times"/>
          <w:sz w:val="22"/>
        </w:rPr>
        <w:t>(3)</w:t>
        <w:tab/>
        <w:t>Clause 2.3:</w:t>
      </w:r>
    </w:p>
    <w:p>
      <w:pPr>
        <w:pStyle w:val="Body2"/>
        <w:tabs>
          <w:tab w:val="clear" w:pos="1247"/>
          <w:tab w:val="left" w:pos="1350" w:leader="none"/>
        </w:tabs>
        <w:ind w:start="1440" w:end="0"/>
        <w:rPr>
          <w:rFonts w:ascii="Times" w:hAnsi="Times" w:cs="Times"/>
          <w:i/>
          <w:i/>
          <w:sz w:val="22"/>
        </w:rPr>
      </w:pPr>
      <w:r>
        <w:rPr>
          <w:rFonts w:cs="Times" w:ascii="Times" w:hAnsi="Times"/>
          <w:i/>
          <w:sz w:val="22"/>
        </w:rPr>
        <w:t>“</w:t>
      </w:r>
      <w:r>
        <w:rPr>
          <w:rFonts w:cs="Times" w:ascii="Times" w:hAnsi="Times"/>
          <w:i/>
          <w:sz w:val="22"/>
        </w:rPr>
        <w:t>GOM acknowledges that, prior to the recommencement of construction activities for Phase I, the changes to the Project referred to herein will require not only amended and additional Clearances, but also renegotiations and execution of revised documentation with Lenders for the reinstatement and reactivation of the credit facilities under the Loan Agreements and the confirmation of the enforceability of the Lender’s security in relation to the Project as so revised. GOM will fully support and cooperate with DPC in all such matters.”</w:t>
      </w:r>
    </w:p>
    <w:p>
      <w:pPr>
        <w:pStyle w:val="Recitals"/>
        <w:numPr>
          <w:ilvl w:val="0"/>
          <w:numId w:val="0"/>
        </w:numPr>
        <w:ind w:hanging="720" w:start="720" w:end="0"/>
        <w:rPr>
          <w:b w:val="false"/>
        </w:rPr>
      </w:pPr>
      <w:r>
        <w:rPr>
          <w:b w:val="false"/>
        </w:rPr>
        <w:t>(2)</w:t>
        <w:tab/>
      </w:r>
      <w:r>
        <w:rPr>
          <w:b w:val="false"/>
          <w:u w:val="single"/>
        </w:rPr>
        <w:t>Facts and Circumstances Constituting the Background to the Dispute and to the Claim</w:t>
      </w:r>
    </w:p>
    <w:p>
      <w:pPr>
        <w:pStyle w:val="Recitals"/>
        <w:numPr>
          <w:ilvl w:val="0"/>
          <w:numId w:val="0"/>
        </w:numPr>
        <w:ind w:firstLine="720" w:start="-720" w:end="0"/>
        <w:rPr>
          <w:b w:val="false"/>
        </w:rPr>
      </w:pPr>
      <w:r>
        <w:rPr>
          <w:b w:val="false"/>
        </w:rPr>
        <w:t>(a)</w:t>
        <w:tab/>
      </w:r>
      <w:r>
        <w:rPr>
          <w:b w:val="false"/>
          <w:u w:val="single"/>
        </w:rPr>
        <w:t>Breach of the GOM Obligation to Support the Project</w:t>
      </w:r>
    </w:p>
    <w:p>
      <w:pPr>
        <w:pStyle w:val="1LevelPara"/>
        <w:numPr>
          <w:ilvl w:val="0"/>
          <w:numId w:val="18"/>
        </w:numPr>
        <w:ind w:hanging="1440" w:start="1440" w:end="0"/>
        <w:rPr/>
      </w:pPr>
      <w:r>
        <w:rPr/>
        <w:t>(1)</w:t>
        <w:tab/>
        <w:t>(a)</w:t>
        <w:tab/>
        <w:t>In terms of the GOM Support Agreement and the Supplemental GOM Support Agreement, including (</w:t>
      </w:r>
      <w:r>
        <w:rPr>
          <w:i/>
        </w:rPr>
        <w:t>inter alia</w:t>
      </w:r>
      <w:r>
        <w:rPr/>
        <w:t>) Clause 2 of the Supplemental GOM Support Agreement, the Respondent bound itself to support the development of the Project, (including, in particular, Phase II of the Project), to perform properly the obligations owed by it to the Claimant under (</w:t>
      </w:r>
      <w:r>
        <w:rPr>
          <w:i/>
        </w:rPr>
        <w:t>inter alia</w:t>
      </w:r>
      <w:r>
        <w:rPr/>
        <w:t>) the GOM Guarantee and to ensure the proper performance by the MSEB of the obligations owed by it to the Claimant under the PPA.</w:t>
      </w:r>
    </w:p>
    <w:p>
      <w:pPr>
        <w:pStyle w:val="1LevelPara"/>
        <w:numPr>
          <w:ilvl w:val="0"/>
          <w:numId w:val="0"/>
        </w:numPr>
        <w:ind w:hanging="0" w:start="1440" w:end="0"/>
        <w:rPr/>
      </w:pPr>
      <w:r>
        <w:rPr/>
        <w:t>(b)</w:t>
        <w:tab/>
        <w:t>On or about 2</w:t>
      </w:r>
      <w:r>
        <w:rPr>
          <w:vertAlign w:val="superscript"/>
        </w:rPr>
        <w:t>nd</w:t>
      </w:r>
      <w:r>
        <w:rPr/>
        <w:t xml:space="preserve"> August 1995, the (then) executive government of the Respondent purported to cancel the Project and took other actions which were inconsistent with the obligations owed by it to the Claimant (</w:t>
      </w:r>
      <w:r>
        <w:rPr>
          <w:i/>
        </w:rPr>
        <w:t>inter alia</w:t>
      </w:r>
      <w:r>
        <w:rPr/>
        <w:t>) under the GOM Support Agreement and the GOM Guarantee. In consequence, the construction of Phase I of the Project was suspended and the Lenders to the Claimant ceased to extend credit to the Claimant. By two Notices of Arbitration dated 4</w:t>
      </w:r>
      <w:r>
        <w:rPr>
          <w:vertAlign w:val="superscript"/>
        </w:rPr>
        <w:t>th</w:t>
      </w:r>
      <w:r>
        <w:rPr/>
        <w:t xml:space="preserve"> August 1995 and 14</w:t>
      </w:r>
      <w:r>
        <w:rPr>
          <w:vertAlign w:val="superscript"/>
        </w:rPr>
        <w:t>th</w:t>
      </w:r>
      <w:r>
        <w:rPr/>
        <w:t xml:space="preserve"> August 1995, respectively, the Claimant commenced arbitral proceedings against the Respondent pursuant to the provisions of the GOM Support Agreement and the GOM Guarantee. Those arbitral proceedings were terminated by means of a Final Consent Award made on 17</w:t>
      </w:r>
      <w:r>
        <w:rPr>
          <w:vertAlign w:val="superscript"/>
        </w:rPr>
        <w:t>th</w:t>
      </w:r>
      <w:r>
        <w:rPr/>
        <w:t xml:space="preserve"> December 1996.</w:t>
      </w:r>
    </w:p>
    <w:p>
      <w:pPr>
        <w:pStyle w:val="1LevelPara"/>
        <w:numPr>
          <w:ilvl w:val="0"/>
          <w:numId w:val="0"/>
        </w:numPr>
        <w:ind w:hanging="0" w:start="1440" w:end="0"/>
        <w:rPr/>
      </w:pPr>
      <w:r>
        <w:rPr/>
        <w:t>(c)</w:t>
        <w:tab/>
        <w:t xml:space="preserve">The Supplemental GOM Support Agreement was entered into by the Respondent following upon a decision of the executive government of the Respondent that the Project be re-instated and that the construction of Phase I of the Project be re-commenced on revised commercial terms. </w:t>
      </w:r>
    </w:p>
    <w:p>
      <w:pPr>
        <w:pStyle w:val="1LevelPara"/>
        <w:numPr>
          <w:ilvl w:val="0"/>
          <w:numId w:val="0"/>
        </w:numPr>
        <w:ind w:hanging="0" w:start="1440" w:end="0"/>
        <w:rPr/>
      </w:pPr>
      <w:r>
        <w:rPr/>
        <w:t>(d)</w:t>
        <w:tab/>
        <w:t>In order to achieve the re-instatement of the Project generally and, in particular, the re-commencement of the construction of Phase I of the Project, it was necessary (</w:t>
      </w:r>
      <w:r>
        <w:rPr>
          <w:i/>
        </w:rPr>
        <w:t>inter alia</w:t>
      </w:r>
      <w:r>
        <w:rPr/>
        <w:t>) that the Lenders to the Claimant resumed extending credit to the Claimant. That, in turn, required (</w:t>
      </w:r>
      <w:r>
        <w:rPr>
          <w:i/>
        </w:rPr>
        <w:t>inter alia</w:t>
      </w:r>
      <w:r>
        <w:rPr/>
        <w:t>) that:-</w:t>
      </w:r>
    </w:p>
    <w:p>
      <w:pPr>
        <w:pStyle w:val="1LevelPara"/>
        <w:numPr>
          <w:ilvl w:val="0"/>
          <w:numId w:val="0"/>
        </w:numPr>
        <w:ind w:hanging="0" w:start="1440" w:end="0"/>
        <w:rPr/>
      </w:pPr>
      <w:r>
        <w:rPr/>
        <w:t>(i)</w:t>
        <w:tab/>
        <w:t>the Respondent confirmed that it supported the Project generally, and, in particular, the development of the Project, and that it promised to maintain its support for the Project and the development of the Project in the future;</w:t>
      </w:r>
    </w:p>
    <w:p>
      <w:pPr>
        <w:pStyle w:val="1LevelPara"/>
        <w:numPr>
          <w:ilvl w:val="0"/>
          <w:numId w:val="0"/>
        </w:numPr>
        <w:ind w:hanging="0" w:start="1440" w:end="0"/>
        <w:rPr/>
      </w:pPr>
      <w:r>
        <w:rPr/>
        <w:t>(ii)</w:t>
        <w:tab/>
        <w:t xml:space="preserve">the Claimant and the Lenders received satisfactory assurances from the Respondent as to its compliance in the future with its obligations under the agreements relating to the Project to which it was a party, and as to the enforceability of the Lenders’ security over, and with respect to, the Project. </w:t>
      </w:r>
    </w:p>
    <w:p>
      <w:pPr>
        <w:pStyle w:val="1LevelPara"/>
        <w:numPr>
          <w:ilvl w:val="0"/>
          <w:numId w:val="0"/>
        </w:numPr>
        <w:ind w:hanging="0" w:start="1440" w:end="0"/>
        <w:rPr/>
      </w:pPr>
      <w:r>
        <w:rPr/>
        <w:t>Accordingly, the genesis and objective of the Supplemental GOM Support Agreement was to ensure that the Respondent committed itself to support the development of the Project in the light of the events which occurred.</w:t>
      </w:r>
    </w:p>
    <w:p>
      <w:pPr>
        <w:pStyle w:val="1LevelPara"/>
        <w:numPr>
          <w:ilvl w:val="0"/>
          <w:numId w:val="0"/>
        </w:numPr>
        <w:ind w:hanging="0" w:start="720" w:end="0"/>
        <w:rPr/>
      </w:pPr>
      <w:r>
        <w:rPr/>
        <w:t>(2)</w:t>
        <w:tab/>
        <w:t>Following upon a further change in the composition of the executive government of the Respondent, the Respondent has adopted and has sought to pursue a policy whose objective and/or the implementation of which policy includes or requires (</w:t>
      </w:r>
      <w:r>
        <w:rPr>
          <w:i/>
        </w:rPr>
        <w:t>inter alia</w:t>
      </w:r>
      <w:r>
        <w:rPr/>
        <w:t>) the re-negotiation of the terms of the PPA and the amendment of those terms (in particular, the tariff under the PPA) to the disadvantage of the Claimant and/or the cancellation, modification or forced abandonment (by the Claimant) of the Project (alternatively, Phase II of the Project) and/or the delay of Entry into Commercial Service of Phase II of the Project or the constituent elements thereof.</w:t>
      </w:r>
    </w:p>
    <w:p>
      <w:pPr>
        <w:pStyle w:val="1LevelPara"/>
        <w:numPr>
          <w:ilvl w:val="0"/>
          <w:numId w:val="0"/>
        </w:numPr>
        <w:ind w:hanging="0" w:start="720" w:end="0"/>
        <w:rPr/>
      </w:pPr>
      <w:r>
        <w:rPr/>
        <w:t>(3)</w:t>
        <w:tab/>
        <w:t>The Respondent’s obligation under the GOM Support Agreement and the Supplemental GOM Support Agreement is to support the development of the Project in the form in which it presently stands, and upon the commercial terms set out (</w:t>
      </w:r>
      <w:r>
        <w:rPr>
          <w:i/>
        </w:rPr>
        <w:t>inter alia</w:t>
      </w:r>
      <w:r>
        <w:rPr/>
        <w:t>) in the PPA and the GOM Guarantee and in no other form and upon no other commercial terms. The Claimant will say that the articulation, and the implementation, of a policy, such as that set out and described in sub-paragraph 11(2) above, represent actions which are incompatible with the obligations assumed by the Respondent in terms of the GOM Support Agreement and the Supplemental GOM Support Agreement.</w:t>
      </w:r>
    </w:p>
    <w:p>
      <w:pPr>
        <w:pStyle w:val="1LevelPara"/>
        <w:numPr>
          <w:ilvl w:val="0"/>
          <w:numId w:val="0"/>
        </w:numPr>
        <w:ind w:hanging="0" w:start="720" w:end="0"/>
        <w:rPr/>
      </w:pPr>
      <w:r>
        <w:rPr/>
        <w:t>(4)</w:t>
        <w:tab/>
        <w:t>The Respondent has sought to implement its policy partly by means of its own actions and partly by means of actions which it has variously caused, encouraged, counselled or procured the MSEB and other entities (such as Competent Authorities) to take.</w:t>
      </w:r>
    </w:p>
    <w:p>
      <w:pPr>
        <w:pStyle w:val="1LevelPara"/>
        <w:numPr>
          <w:ilvl w:val="0"/>
          <w:numId w:val="0"/>
        </w:numPr>
        <w:ind w:hanging="0" w:start="720" w:end="0"/>
        <w:rPr/>
      </w:pPr>
      <w:r>
        <w:rPr/>
        <w:t>(5)</w:t>
        <w:tab/>
        <w:t>Contrary to its obligations under the GOM Support Agreement and the Supplemental GOM Support Agreement, the Respondent has directly and indirectly (by means of actions taken by the MSEB and/or Competent Authorities at its instigation) acted in a manner which is inconsistent with the obligations assumed by it thereunder. In particular (but without limitation), the actions taken by the Respondent directly and indirectly (by means of actions taken by the MSEB and/or Competent Authorities at its instigation), and statements made by Ministers and officials of the Respondent, have involved the commission of persistent, serious and deliberate breaches of (</w:t>
      </w:r>
      <w:r>
        <w:rPr>
          <w:i/>
        </w:rPr>
        <w:t>inter alia</w:t>
      </w:r>
      <w:r>
        <w:rPr/>
        <w:t>) the Respondent’s obligation to lend support to the development of the Project.</w:t>
      </w:r>
    </w:p>
    <w:p>
      <w:pPr>
        <w:pStyle w:val="Recitals"/>
        <w:numPr>
          <w:ilvl w:val="0"/>
          <w:numId w:val="0"/>
        </w:numPr>
        <w:ind w:firstLine="720" w:start="-720" w:end="0"/>
        <w:rPr>
          <w:b w:val="false"/>
        </w:rPr>
      </w:pPr>
      <w:r>
        <w:rPr>
          <w:b w:val="false"/>
        </w:rPr>
        <w:t>(b)</w:t>
        <w:tab/>
      </w:r>
      <w:r>
        <w:rPr>
          <w:b w:val="false"/>
          <w:u w:val="single"/>
        </w:rPr>
        <w:t>Public Statements by Ministers and Officials of the GOM</w:t>
      </w:r>
    </w:p>
    <w:p>
      <w:pPr>
        <w:pStyle w:val="1LevelPara"/>
        <w:numPr>
          <w:ilvl w:val="0"/>
          <w:numId w:val="18"/>
        </w:numPr>
        <w:ind w:hanging="0" w:start="0"/>
        <w:rPr/>
      </w:pPr>
      <w:r>
        <w:rPr/>
        <w:t>(1)</w:t>
        <w:tab/>
        <w:t>Ministers and officials of the Respondent have made public statements which are inconsistent with the maintenance of support for the development of the Project by the Respondent. The Claimant will refer to and rely upon (</w:t>
      </w:r>
      <w:r>
        <w:rPr>
          <w:i/>
        </w:rPr>
        <w:t>inter alia</w:t>
      </w:r>
      <w:r>
        <w:rPr/>
        <w:t>) the facts, matters and statements of the Ministers and officials of the Respondent set out in the newspaper articles referred to in the Schedule hereto.</w:t>
      </w:r>
    </w:p>
    <w:p>
      <w:pPr>
        <w:pStyle w:val="1LevelPara"/>
        <w:numPr>
          <w:ilvl w:val="0"/>
          <w:numId w:val="0"/>
        </w:numPr>
        <w:ind w:hanging="0" w:start="720" w:end="0"/>
        <w:rPr/>
      </w:pPr>
      <w:r>
        <w:rPr/>
        <w:t>(2)</w:t>
        <w:tab/>
        <w:t>On 27</w:t>
      </w:r>
      <w:r>
        <w:rPr>
          <w:vertAlign w:val="superscript"/>
        </w:rPr>
        <w:t>th</w:t>
      </w:r>
      <w:r>
        <w:rPr/>
        <w:t xml:space="preserve"> March 2001 the Finance and Planning Minister of the Respondent made a speech to the Legislative Assembly for the State of Maharashtra. His speech (at paragraph 8.2 of the printed text) was to the following effect:-</w:t>
      </w:r>
    </w:p>
    <w:p>
      <w:pPr>
        <w:pStyle w:val="1LevelPara"/>
        <w:numPr>
          <w:ilvl w:val="0"/>
          <w:numId w:val="0"/>
        </w:numPr>
        <w:spacing w:lineRule="auto" w:line="240"/>
        <w:ind w:hanging="0" w:start="1440" w:end="0"/>
        <w:rPr>
          <w:i/>
          <w:i/>
        </w:rPr>
      </w:pPr>
      <w:r>
        <w:rPr>
          <w:i/>
        </w:rPr>
        <w:t>“</w:t>
      </w:r>
      <w:r>
        <w:rPr>
          <w:i/>
        </w:rPr>
        <w:t>8.2</w:t>
        <w:tab/>
        <w:t>The phase-I of the Dabhol Power Company (DPC) project entails a monthly fixed charged of Rs. 95 crore. After the commissioning of the phase-II in the year 2001-02, MSEB will be required to pay at least Rs. 508 crore per month to Enron without drawing even a single unit of electricity. Clearly, this is an unsustainable burden for the MSEB. We have set up a Committee of several experts under the Chairmanship of Dr. Madhav Godbole, former Union Home Secretary, to look into various aspects of this project and to renegotiate the contract. We have also requested the Central Government to take over the entire project directly or through its undertakings. We must, cutting across all party lines, try to find a solution to this problem, keeping in view the immediate and long-term interests of the State.”</w:t>
      </w:r>
    </w:p>
    <w:p>
      <w:pPr>
        <w:pStyle w:val="Recitals"/>
        <w:numPr>
          <w:ilvl w:val="0"/>
          <w:numId w:val="0"/>
        </w:numPr>
        <w:ind w:firstLine="720" w:start="-720" w:end="0"/>
        <w:rPr>
          <w:b w:val="false"/>
        </w:rPr>
      </w:pPr>
      <w:r>
        <w:rPr>
          <w:b w:val="false"/>
        </w:rPr>
        <w:t>(c)</w:t>
        <w:tab/>
      </w:r>
      <w:r>
        <w:rPr>
          <w:b w:val="false"/>
          <w:u w:val="single"/>
        </w:rPr>
        <w:t>Establishment of the GOM Energy Review Committee</w:t>
      </w:r>
    </w:p>
    <w:p>
      <w:pPr>
        <w:pStyle w:val="1LevelPara"/>
        <w:numPr>
          <w:ilvl w:val="0"/>
          <w:numId w:val="18"/>
        </w:numPr>
        <w:ind w:hanging="0" w:start="0"/>
        <w:rPr/>
      </w:pPr>
      <w:r>
        <w:rPr/>
        <w:t>(1)</w:t>
        <w:tab/>
        <w:t>By a Resolution dated 9</w:t>
      </w:r>
      <w:r>
        <w:rPr>
          <w:vertAlign w:val="superscript"/>
        </w:rPr>
        <w:t>th</w:t>
      </w:r>
      <w:r>
        <w:rPr/>
        <w:t xml:space="preserve"> February 2001 (Resolution No. PSP 2001/CR3448/ NRG-2), the Respondent constituted an Energy Review Committee consisting (initially) of six members for the following purposes:-</w:t>
      </w:r>
    </w:p>
    <w:p>
      <w:pPr>
        <w:pStyle w:val="1LevelPara"/>
        <w:numPr>
          <w:ilvl w:val="0"/>
          <w:numId w:val="0"/>
        </w:numPr>
        <w:spacing w:lineRule="auto" w:line="240"/>
        <w:ind w:hanging="0" w:start="1440" w:end="0"/>
        <w:rPr>
          <w:i/>
          <w:i/>
        </w:rPr>
      </w:pPr>
      <w:r>
        <w:rPr>
          <w:i/>
        </w:rPr>
        <w:t>“</w:t>
      </w:r>
      <w:r>
        <w:rPr>
          <w:i/>
        </w:rPr>
        <w:t>Pursuant to the new power policies, several independent power projects have been and are being set up in the State of Maharashtra. Under the present policy of Government of India, export of power outside State or sale of power by Independent Power Projects (IPPs) to parties other than Maharashtra State Electricity Board (MSEB) is not permitted. The entire position of demand and supply of electric power within the State has undergone a change in the last five years.</w:t>
      </w:r>
    </w:p>
    <w:p>
      <w:pPr>
        <w:pStyle w:val="1LevelPara"/>
        <w:numPr>
          <w:ilvl w:val="0"/>
          <w:numId w:val="0"/>
        </w:numPr>
        <w:spacing w:lineRule="auto" w:line="240" w:before="0" w:after="240"/>
        <w:ind w:hanging="0" w:start="1440" w:end="0"/>
        <w:rPr>
          <w:i/>
          <w:i/>
        </w:rPr>
      </w:pPr>
      <w:r>
        <w:rPr>
          <w:i/>
        </w:rPr>
        <w:t>In view of the current scenario, the State Government is of the opinion that a general review of the power situation as well as specific review of particular IPPs, their implications and effects upon the demand and supply of power and their financial implications has become necessary.”</w:t>
      </w:r>
    </w:p>
    <w:p>
      <w:pPr>
        <w:pStyle w:val="1LevelPara"/>
        <w:numPr>
          <w:ilvl w:val="0"/>
          <w:numId w:val="0"/>
        </w:numPr>
        <w:ind w:hanging="0" w:start="720" w:end="0"/>
        <w:rPr/>
      </w:pPr>
      <w:r>
        <w:rPr/>
        <w:t>(2)</w:t>
        <w:tab/>
        <w:t>The terms of reference for the Energy Review Committee were the following:-</w:t>
      </w:r>
    </w:p>
    <w:p>
      <w:pPr>
        <w:pStyle w:val="1LevelPara"/>
        <w:numPr>
          <w:ilvl w:val="0"/>
          <w:numId w:val="0"/>
        </w:numPr>
        <w:spacing w:lineRule="auto" w:line="240"/>
        <w:ind w:hanging="0" w:start="1440" w:end="0"/>
        <w:rPr>
          <w:i/>
          <w:i/>
        </w:rPr>
      </w:pPr>
      <w:r>
        <w:rPr>
          <w:i/>
        </w:rPr>
        <w:t>“</w:t>
      </w:r>
      <w:r>
        <w:rPr>
          <w:i/>
        </w:rPr>
        <w:t>A).</w:t>
        <w:tab/>
        <w:t>To review the position of overall demand and supply of electric power in the State, with special reference to the supply of power by projects of independent power producers and purchase thereof by the MSEB for which Power Purchase Agreements (PPA) have either been signed or are proposed.</w:t>
      </w:r>
    </w:p>
    <w:p>
      <w:pPr>
        <w:pStyle w:val="1LevelPara"/>
        <w:numPr>
          <w:ilvl w:val="0"/>
          <w:numId w:val="0"/>
        </w:numPr>
        <w:spacing w:lineRule="auto" w:line="240"/>
        <w:ind w:hanging="0" w:start="1440" w:end="0"/>
        <w:rPr>
          <w:i/>
          <w:i/>
        </w:rPr>
      </w:pPr>
      <w:r>
        <w:rPr>
          <w:i/>
        </w:rPr>
        <w:t>B).</w:t>
        <w:tab/>
        <w:t>To examine the cost of power supplied by the DPC and the distribution of power losses and its implications on the finances/tariff of MSEB.</w:t>
      </w:r>
    </w:p>
    <w:p>
      <w:pPr>
        <w:pStyle w:val="1LevelPara"/>
        <w:numPr>
          <w:ilvl w:val="0"/>
          <w:numId w:val="0"/>
        </w:numPr>
        <w:spacing w:lineRule="auto" w:line="240"/>
        <w:ind w:hanging="0" w:start="1440" w:end="0"/>
        <w:rPr>
          <w:i/>
          <w:i/>
        </w:rPr>
      </w:pPr>
      <w:r>
        <w:rPr>
          <w:i/>
        </w:rPr>
        <w:t>C).</w:t>
        <w:tab/>
        <w:t>To review and reconsider the provisions of the PPA signed with the DPC after holding discussions with the said Company, the MSEB and related authorities …”</w:t>
      </w:r>
    </w:p>
    <w:p>
      <w:pPr>
        <w:pStyle w:val="1LevelPara"/>
        <w:numPr>
          <w:ilvl w:val="0"/>
          <w:numId w:val="0"/>
        </w:numPr>
        <w:ind w:hanging="0" w:start="720" w:end="0"/>
        <w:rPr/>
      </w:pPr>
      <w:r>
        <w:rPr/>
        <w:t>(3)</w:t>
        <w:tab/>
        <w:t>The Respondent’s Resolution dated 9</w:t>
      </w:r>
      <w:r>
        <w:rPr>
          <w:vertAlign w:val="superscript"/>
        </w:rPr>
        <w:t>th</w:t>
      </w:r>
      <w:r>
        <w:rPr/>
        <w:t xml:space="preserve"> February 2001 was amended by a further Resolution dated 9</w:t>
      </w:r>
      <w:r>
        <w:rPr>
          <w:vertAlign w:val="superscript"/>
        </w:rPr>
        <w:t>th</w:t>
      </w:r>
      <w:r>
        <w:rPr/>
        <w:t xml:space="preserve"> March 2001 (Resolution No. PSP 2001/CR 3443/NRG-2) which provided for additional terms of reference for the Energy Review Committee which included </w:t>
      </w:r>
      <w:r>
        <w:rPr>
          <w:i/>
        </w:rPr>
        <w:t>(inter alia)</w:t>
      </w:r>
      <w:r>
        <w:rPr/>
        <w:t xml:space="preserve"> the following:-</w:t>
      </w:r>
    </w:p>
    <w:p>
      <w:pPr>
        <w:pStyle w:val="1LevelPara"/>
        <w:numPr>
          <w:ilvl w:val="0"/>
          <w:numId w:val="0"/>
        </w:numPr>
        <w:spacing w:lineRule="auto" w:line="240"/>
        <w:ind w:hanging="720" w:start="1440" w:end="0"/>
        <w:rPr/>
      </w:pPr>
      <w:r>
        <w:rPr/>
        <w:tab/>
      </w:r>
      <w:r>
        <w:rPr>
          <w:i/>
        </w:rPr>
        <w:t>“3.</w:t>
        <w:tab/>
        <w:t>Evaluate and review Dabhol Power Project, review any and all of its clearances, tariff, and all aspects in the context of the relevant laws and notifications as may be applicable at any specific time …</w:t>
      </w:r>
    </w:p>
    <w:p>
      <w:pPr>
        <w:pStyle w:val="1LevelPara"/>
        <w:numPr>
          <w:ilvl w:val="0"/>
          <w:numId w:val="0"/>
        </w:numPr>
        <w:spacing w:lineRule="auto" w:line="240"/>
        <w:ind w:hanging="720" w:start="1440" w:end="0"/>
        <w:rPr>
          <w:i/>
          <w:i/>
        </w:rPr>
      </w:pPr>
      <w:r>
        <w:rPr>
          <w:i/>
        </w:rPr>
        <w:tab/>
        <w:t>5.</w:t>
        <w:tab/>
        <w:t>Negotiate with Dabhol Power Company on behalf of State Government and Maharashtra State Electricity Board for lowering the tariff, capital cost and all other aspects of Dabhol Power Project …”</w:t>
      </w:r>
    </w:p>
    <w:p>
      <w:pPr>
        <w:pStyle w:val="1LevelPara"/>
        <w:numPr>
          <w:ilvl w:val="0"/>
          <w:numId w:val="0"/>
        </w:numPr>
        <w:spacing w:lineRule="auto" w:line="240"/>
        <w:ind w:hanging="720" w:start="1440" w:end="0"/>
        <w:rPr>
          <w:i/>
          <w:i/>
        </w:rPr>
      </w:pPr>
      <w:r>
        <w:rPr>
          <w:i/>
        </w:rPr>
      </w:r>
    </w:p>
    <w:p>
      <w:pPr>
        <w:pStyle w:val="1LevelPara"/>
        <w:numPr>
          <w:ilvl w:val="0"/>
          <w:numId w:val="0"/>
        </w:numPr>
        <w:ind w:hanging="0" w:start="720" w:end="0"/>
        <w:rPr/>
      </w:pPr>
      <w:r>
        <w:rPr/>
        <w:t>The Claimant will say that, (</w:t>
      </w:r>
      <w:r>
        <w:rPr>
          <w:i/>
        </w:rPr>
        <w:t>inter alia</w:t>
      </w:r>
      <w:r>
        <w:rPr/>
        <w:t>) by paragraph 3 of the additional terms of reference, the Respondent (in terms) has invited the Energy Review Committee to examine the Clearances for the Project and the tariff under the PPA in order to ascertain whether any fault or defect might be found in the same which might supply the Respondent with justification for their revocation or modification.</w:t>
      </w:r>
    </w:p>
    <w:p>
      <w:pPr>
        <w:pStyle w:val="1LevelPara"/>
        <w:numPr>
          <w:ilvl w:val="0"/>
          <w:numId w:val="0"/>
        </w:numPr>
        <w:ind w:hanging="720" w:start="1440" w:end="0"/>
        <w:rPr/>
      </w:pPr>
      <w:r>
        <w:rPr/>
        <w:t>(4)</w:t>
        <w:tab/>
        <w:t>(a)</w:t>
        <w:tab/>
        <w:t>The expressed purposes of the Resolution notwithstanding, the primary function of the Energy Review Committee was and is a review of the Project and the PPA.</w:t>
      </w:r>
    </w:p>
    <w:p>
      <w:pPr>
        <w:pStyle w:val="1LevelPara"/>
        <w:numPr>
          <w:ilvl w:val="0"/>
          <w:numId w:val="0"/>
        </w:numPr>
        <w:ind w:hanging="0" w:start="1440" w:end="0"/>
        <w:rPr/>
      </w:pPr>
      <w:r>
        <w:rPr/>
        <w:t>(b)</w:t>
        <w:tab/>
        <w:t>The Energy Review Committee was neither invited nor required by the Respondent to review or to assess the costs or the tariff of any other private sector power station operator in the State of Maharashtra, nor has it in fact done so.</w:t>
      </w:r>
    </w:p>
    <w:p>
      <w:pPr>
        <w:pStyle w:val="1LevelPara"/>
        <w:numPr>
          <w:ilvl w:val="0"/>
          <w:numId w:val="0"/>
        </w:numPr>
        <w:ind w:hanging="0" w:start="1440" w:end="0"/>
        <w:rPr/>
      </w:pPr>
      <w:r>
        <w:rPr/>
        <w:t>(c)</w:t>
        <w:tab/>
        <w:t xml:space="preserve">The Claimant will say that the Energy Review Committee was set up by the Respondent in order to provide the executive government of the Respondent with superficially colourable grounds with which to seek to re-negotiate the terms of the PPA (in order to achieve the </w:t>
      </w:r>
      <w:r>
        <w:rPr>
          <w:i/>
        </w:rPr>
        <w:t>a priori</w:t>
      </w:r>
      <w:r>
        <w:rPr/>
        <w:t xml:space="preserve"> determined objective of the Respondent’s policy), and, accordingly, to do precisely the opposite of that which the Respondent had bound itself to do under the GOM Support Agreement and the Supplemental GOM Support Agreement (namely, to support the development of the Project and to ensure the proper performance by it and by the MSEB of their respective obligations under the GOM Guarantee and the PPA).</w:t>
      </w:r>
    </w:p>
    <w:p>
      <w:pPr>
        <w:pStyle w:val="Recitals"/>
        <w:numPr>
          <w:ilvl w:val="0"/>
          <w:numId w:val="0"/>
        </w:numPr>
        <w:ind w:firstLine="720" w:start="-720" w:end="0"/>
        <w:rPr>
          <w:b w:val="false"/>
        </w:rPr>
      </w:pPr>
      <w:r>
        <w:rPr>
          <w:b w:val="false"/>
        </w:rPr>
        <w:t>(d)</w:t>
        <w:tab/>
      </w:r>
      <w:r>
        <w:rPr>
          <w:b w:val="false"/>
          <w:u w:val="single"/>
        </w:rPr>
        <w:t>GOM Guarantee Not Honoured</w:t>
      </w:r>
    </w:p>
    <w:p>
      <w:pPr>
        <w:pStyle w:val="1LevelPara"/>
        <w:numPr>
          <w:ilvl w:val="0"/>
          <w:numId w:val="18"/>
        </w:numPr>
        <w:ind w:hanging="0" w:start="0"/>
        <w:rPr/>
      </w:pPr>
      <w:r>
        <w:rPr/>
        <w:t>(1)</w:t>
        <w:tab/>
        <w:t>In terms of Clause 1 of the GOM Guarantee, the GOM irrevocably and unconditionally agreed to pay to the Claimant, within 7 calendar days of demand by the Claimant thereunder, any and every sum of money which the MSEB is liable to pay the Claimant under the PPA but shall have failed to pay in accordance with the terms of the PPA.</w:t>
      </w:r>
    </w:p>
    <w:p>
      <w:pPr>
        <w:pStyle w:val="1LevelPara"/>
        <w:numPr>
          <w:ilvl w:val="0"/>
          <w:numId w:val="0"/>
        </w:numPr>
        <w:ind w:hanging="0" w:start="720" w:end="0"/>
        <w:rPr/>
      </w:pPr>
      <w:r>
        <w:rPr/>
        <w:t>(2)</w:t>
        <w:tab/>
        <w:t>On or about 25</w:t>
      </w:r>
      <w:r>
        <w:rPr>
          <w:vertAlign w:val="superscript"/>
        </w:rPr>
        <w:t>th</w:t>
      </w:r>
      <w:r>
        <w:rPr/>
        <w:t xml:space="preserve"> January 2001, 6</w:t>
      </w:r>
      <w:r>
        <w:rPr>
          <w:vertAlign w:val="superscript"/>
        </w:rPr>
        <w:t>th</w:t>
      </w:r>
      <w:r>
        <w:rPr/>
        <w:t xml:space="preserve"> February 2001 and 3</w:t>
      </w:r>
      <w:r>
        <w:rPr>
          <w:vertAlign w:val="superscript"/>
        </w:rPr>
        <w:t>rd</w:t>
      </w:r>
      <w:r>
        <w:rPr/>
        <w:t xml:space="preserve"> April 2001 the Claimant made four demands upon the Respondent under the GOM Guarantee.  On each such occasion the Respondent has failed to pay to the Claimant the sums which it was obliged to pay to the Claimant in pursuance of the GOM Guarantee. The first occasion upon which the Respondent defaulted upon its obligations under the GOM Guarantee was on or about 1</w:t>
      </w:r>
      <w:r>
        <w:rPr>
          <w:vertAlign w:val="superscript"/>
        </w:rPr>
        <w:t>st</w:t>
      </w:r>
      <w:r>
        <w:rPr/>
        <w:t xml:space="preserve"> February 2001.</w:t>
      </w:r>
    </w:p>
    <w:p>
      <w:pPr>
        <w:pStyle w:val="1LevelPara"/>
        <w:numPr>
          <w:ilvl w:val="0"/>
          <w:numId w:val="0"/>
        </w:numPr>
        <w:ind w:hanging="0" w:start="720" w:end="0"/>
        <w:rPr/>
      </w:pPr>
      <w:r>
        <w:rPr/>
        <w:t>(3)</w:t>
        <w:tab/>
        <w:t>On 5</w:t>
      </w:r>
      <w:r>
        <w:rPr>
          <w:vertAlign w:val="superscript"/>
        </w:rPr>
        <w:t>th</w:t>
      </w:r>
      <w:r>
        <w:rPr/>
        <w:t xml:space="preserve"> February 2001, the Finance and Planning Minister of the Respondent, Mr Jayant Rajaram Patil made a statement to a reporter of “The Economic Times” commenting upon the decision of a credit-rating agency to downgrade the credit-rating of the Respondent following upon the Respondent’s default and failure, to honour the first of the demands made of it by the Claimant under the GOM Guarantee on 25</w:t>
      </w:r>
      <w:r>
        <w:rPr>
          <w:vertAlign w:val="superscript"/>
        </w:rPr>
        <w:t>th</w:t>
      </w:r>
      <w:r>
        <w:rPr/>
        <w:t xml:space="preserve"> January 2001. He stated that:-</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we have refused to honour our contractual obligations by choice. It is our strategic decision not to pay Enron as we want to scrap the power purchase agreement the state has with the company … Our decision not to pay Enron has nothing to do with the state’s finances.”</w:t>
      </w:r>
    </w:p>
    <w:p>
      <w:pPr>
        <w:pStyle w:val="1LevelPara"/>
        <w:numPr>
          <w:ilvl w:val="0"/>
          <w:numId w:val="0"/>
        </w:numPr>
        <w:ind w:hanging="0" w:start="720" w:end="0"/>
        <w:rPr/>
      </w:pPr>
      <w:r>
        <w:rPr/>
        <w:t>(4)</w:t>
        <w:tab/>
        <w:t>Likewise, on or about 6</w:t>
      </w:r>
      <w:r>
        <w:rPr>
          <w:vertAlign w:val="superscript"/>
        </w:rPr>
        <w:t>th</w:t>
      </w:r>
      <w:r>
        <w:rPr/>
        <w:t xml:space="preserve"> February 2001, the Finance and Planning Minister of the Respondent made a statement to a reporter of the “Business Standard” as follows:-</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The non-payment of dues by the state government was necessitated by the contractual disagreement that arose and not because the government was unable to afford making payments. … This does not mean that the state is not able to fulfil its financial commitments. …</w:t>
      </w:r>
    </w:p>
    <w:p>
      <w:pPr>
        <w:pStyle w:val="1LevelPara"/>
        <w:numPr>
          <w:ilvl w:val="0"/>
          <w:numId w:val="0"/>
        </w:numPr>
        <w:spacing w:lineRule="auto" w:line="240" w:before="0" w:after="240"/>
        <w:ind w:hanging="0" w:start="1440" w:end="0"/>
        <w:rPr>
          <w:i/>
          <w:i/>
        </w:rPr>
      </w:pPr>
      <w:r>
        <w:rPr>
          <w:i/>
        </w:rPr>
        <w:t>…</w:t>
      </w:r>
      <w:r>
        <w:rPr>
          <w:rFonts w:eastAsia="Times"/>
          <w:i/>
        </w:rPr>
        <w:t xml:space="preserve"> </w:t>
      </w:r>
      <w:r>
        <w:rPr>
          <w:i/>
        </w:rPr>
        <w:t>When the rating agency informed us about the downgradation, we told them that it was not because we were short of funds but because the state had decided to set up a review committee that would look into the issue and recommend whether we needed to renegotiate with the company or follow some other avenue for resolving the problem of increased tariffs.”</w:t>
      </w:r>
    </w:p>
    <w:p>
      <w:pPr>
        <w:pStyle w:val="Recitals"/>
        <w:numPr>
          <w:ilvl w:val="0"/>
          <w:numId w:val="0"/>
        </w:numPr>
        <w:ind w:firstLine="720" w:start="-720" w:end="0"/>
        <w:rPr>
          <w:b w:val="false"/>
        </w:rPr>
      </w:pPr>
      <w:r>
        <w:rPr>
          <w:b w:val="false"/>
        </w:rPr>
        <w:t>(e)</w:t>
        <w:tab/>
      </w:r>
      <w:r>
        <w:rPr>
          <w:b w:val="false"/>
          <w:u w:val="single"/>
        </w:rPr>
        <w:t>Procurement of Breach of the GOI Guarantee</w:t>
      </w:r>
    </w:p>
    <w:p>
      <w:pPr>
        <w:pStyle w:val="1LevelPara"/>
        <w:numPr>
          <w:ilvl w:val="0"/>
          <w:numId w:val="18"/>
        </w:numPr>
        <w:ind w:hanging="0" w:start="0"/>
        <w:rPr/>
      </w:pPr>
      <w:r>
        <w:rPr/>
        <w:t>(1)</w:t>
        <w:tab/>
        <w:t>On or about 8</w:t>
      </w:r>
      <w:r>
        <w:rPr>
          <w:vertAlign w:val="superscript"/>
        </w:rPr>
        <w:t>th</w:t>
      </w:r>
      <w:r>
        <w:rPr/>
        <w:t xml:space="preserve"> March 2001 (by a letter dated 7</w:t>
      </w:r>
      <w:r>
        <w:rPr>
          <w:vertAlign w:val="superscript"/>
        </w:rPr>
        <w:t>th</w:t>
      </w:r>
      <w:r>
        <w:rPr/>
        <w:t xml:space="preserve"> March 2001), the Claimant made demand upon the Government of India (“the GOI”) pursuant to the provisions of a Guarantee given by The Union of India in favour of the Claimant on 15</w:t>
      </w:r>
      <w:r>
        <w:rPr>
          <w:vertAlign w:val="superscript"/>
        </w:rPr>
        <w:t>th</w:t>
      </w:r>
      <w:r>
        <w:rPr/>
        <w:t xml:space="preserve"> September 1994 (“the GOI Guarantee”) for the payment of the sum of Rs. 1,020,000,000.00, which sum was (a) due and payable by the MSEB to the Claimant on 25</w:t>
      </w:r>
      <w:r>
        <w:rPr>
          <w:vertAlign w:val="superscript"/>
        </w:rPr>
        <w:t>th</w:t>
      </w:r>
      <w:r>
        <w:rPr/>
        <w:t xml:space="preserve"> January 2001 under the PPA and in terms of the Claimant’s monthly billing statement relating to the month of December 2000 dated 5</w:t>
      </w:r>
      <w:r>
        <w:rPr>
          <w:vertAlign w:val="superscript"/>
        </w:rPr>
        <w:t>th</w:t>
      </w:r>
      <w:r>
        <w:rPr/>
        <w:t xml:space="preserve"> January 2001 (but which the MSEB had failed to pay to the Claimant on the due date for payment) and (b) due and payable by the Respondent under the GOM Guarantee on 13</w:t>
      </w:r>
      <w:r>
        <w:rPr>
          <w:vertAlign w:val="superscript"/>
        </w:rPr>
        <w:t>th</w:t>
      </w:r>
      <w:r>
        <w:rPr/>
        <w:t xml:space="preserve"> February 2001 pursuant to a demand therefor made by the Claimant by a letter dated 5</w:t>
      </w:r>
      <w:r>
        <w:rPr>
          <w:vertAlign w:val="superscript"/>
        </w:rPr>
        <w:t>th</w:t>
      </w:r>
      <w:r>
        <w:rPr/>
        <w:t xml:space="preserve"> February 2001 (but which the Respondent had failed to pay to the Claimant on the due date for payment).</w:t>
      </w:r>
    </w:p>
    <w:p>
      <w:pPr>
        <w:pStyle w:val="1LevelPara"/>
        <w:numPr>
          <w:ilvl w:val="0"/>
          <w:numId w:val="0"/>
        </w:numPr>
        <w:ind w:hanging="0" w:start="720" w:end="0"/>
        <w:rPr/>
      </w:pPr>
      <w:r>
        <w:rPr/>
        <w:t>(2)</w:t>
        <w:tab/>
        <w:t>By a letter dated 31</w:t>
      </w:r>
      <w:r>
        <w:rPr>
          <w:vertAlign w:val="superscript"/>
        </w:rPr>
        <w:t>st</w:t>
      </w:r>
      <w:r>
        <w:rPr/>
        <w:t xml:space="preserve"> March 2001 the GOI wrongfully refused to pay the sum of Rs. 1,020,000,000.00 due to the Claimant under the GOI Guarantee. In paragraph 5 of that letter the GOI referred to a letter having been received by it from the Respondent dated 15</w:t>
      </w:r>
      <w:r>
        <w:rPr>
          <w:vertAlign w:val="superscript"/>
        </w:rPr>
        <w:t>th</w:t>
      </w:r>
      <w:r>
        <w:rPr/>
        <w:t xml:space="preserve"> March 2001 requesting, requiring, encouraging, counselling and (in the event) procuring that the GOI not make any payment to the Claimant in response to the demand made by the Claimant under the GOI Guarantee. That action was taken in furtherance or implementation of the policy of the Respondent described in sub-paragraph 11(3) above.</w:t>
      </w:r>
    </w:p>
    <w:p>
      <w:pPr>
        <w:pStyle w:val="Recitals"/>
        <w:numPr>
          <w:ilvl w:val="0"/>
          <w:numId w:val="0"/>
        </w:numPr>
        <w:ind w:firstLine="720" w:start="-720" w:end="0"/>
        <w:rPr>
          <w:b w:val="false"/>
        </w:rPr>
      </w:pPr>
      <w:r>
        <w:rPr>
          <w:b w:val="false"/>
        </w:rPr>
        <w:t>(f)</w:t>
        <w:tab/>
      </w:r>
      <w:r>
        <w:rPr>
          <w:b w:val="false"/>
          <w:u w:val="single"/>
        </w:rPr>
        <w:t>Non-Payment and Misperformance by the MSEB under the PPA</w:t>
      </w:r>
    </w:p>
    <w:p>
      <w:pPr>
        <w:pStyle w:val="1LevelPara"/>
        <w:numPr>
          <w:ilvl w:val="0"/>
          <w:numId w:val="18"/>
        </w:numPr>
        <w:ind w:hanging="0" w:start="0"/>
        <w:rPr/>
      </w:pPr>
      <w:r>
        <w:rPr/>
        <w:t>(1)</w:t>
        <w:tab/>
        <w:t>The MSEB is a statutory corporation incorporated under the Electricity (Supply) Act 1948. The Respondent controls the board of directors of the MSEB. In addition, through the provision (</w:t>
      </w:r>
      <w:r>
        <w:rPr>
          <w:i/>
        </w:rPr>
        <w:t>inter alia</w:t>
      </w:r>
      <w:r>
        <w:rPr/>
        <w:t xml:space="preserve">) of financial assistance and/or subventions made by the Respondent to the MSEB, the Respondent controls the finances of the MSEB and is, as a practical matter, able to exert, and does in fact exert, a high degree of control over the management of the MSEB and the conduct of its day-to-day business including (without limitation) the time, order of priority and/or extent to which the MSEB pays its suppliers, creditors and those who provide finance to it. When and where it chooses to do so, the Respondent controls and directs the policies and actions of the MSEB. </w:t>
      </w:r>
    </w:p>
    <w:p>
      <w:pPr>
        <w:pStyle w:val="1LevelPara"/>
        <w:numPr>
          <w:ilvl w:val="0"/>
          <w:numId w:val="0"/>
        </w:numPr>
        <w:ind w:hanging="0" w:start="720" w:end="0"/>
        <w:rPr/>
      </w:pPr>
      <w:r>
        <w:rPr/>
        <w:t>(2)</w:t>
        <w:tab/>
        <w:t>Under and in terms of Clause 11.2(f) of the PPA, the MSEB is obliged to pay the sums brought out as due and owing by it to the Claimant in terms of the monthly billing statements delivered to it under Clause 11.1(a) of the PPA by not later than the dates specified in Clause 11.2(f). For a number of months the MSEB has persistently failed to pay to the Claimant all such sums as have become due to it under the PPA punctually or (in certain cases) at all.</w:t>
      </w:r>
    </w:p>
    <w:p>
      <w:pPr>
        <w:pStyle w:val="1LevelPara"/>
        <w:numPr>
          <w:ilvl w:val="0"/>
          <w:numId w:val="0"/>
        </w:numPr>
        <w:ind w:hanging="0" w:start="720" w:end="0"/>
        <w:rPr/>
      </w:pPr>
      <w:r>
        <w:rPr/>
        <w:t>(3)</w:t>
        <w:tab/>
        <w:t>Further, since 28</w:t>
      </w:r>
      <w:r>
        <w:rPr>
          <w:vertAlign w:val="superscript"/>
        </w:rPr>
        <w:t>th</w:t>
      </w:r>
      <w:r>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 The pattern of the MSEB’s Despatch Instructions are wholly unrelated to the MSEB’s actual requirements for electrical energy. The times and the manner in which the MSEB has given its Despatch Instructions demonstrate that they were not given for </w:t>
      </w:r>
      <w:r>
        <w:rPr>
          <w:i/>
        </w:rPr>
        <w:t xml:space="preserve">bona fide </w:t>
      </w:r>
      <w:r>
        <w:rPr/>
        <w:t>operational reasons.  The MSEB’s practices of giving such Despatch Instructions forms a part of its pattern of the misperformance by it of the obligations which it owes to the Claimant under the PPA.</w:t>
      </w:r>
    </w:p>
    <w:p>
      <w:pPr>
        <w:pStyle w:val="1LevelPara"/>
        <w:numPr>
          <w:ilvl w:val="0"/>
          <w:numId w:val="0"/>
        </w:numPr>
        <w:ind w:hanging="0" w:start="720" w:end="0"/>
        <w:rPr/>
      </w:pPr>
      <w:r>
        <w:rPr/>
        <w:t>(4)</w:t>
        <w:tab/>
        <w:t>The Respondent has sought to procure, cause or require the MSEB to fail to comply, alternatively to fail to comply punctually, with the obligations owed by the MSEB to the Claimant under the PPA in pursuance of the policy referred to and described in sub-paragraph 11(3) above. Alternatively, the actions set out or referred to in sub-paragraph 16(2) and 16(3) above have been taken by the MSEB as part of a joint design with the Respondent (whose objective is the furtherance of the policy described in sub-paragraph 11(3) above) and/or with the Respondent’s prior knowledge, its consent and its concurrence.</w:t>
      </w:r>
    </w:p>
    <w:p>
      <w:pPr>
        <w:pStyle w:val="Recitals"/>
        <w:numPr>
          <w:ilvl w:val="0"/>
          <w:numId w:val="0"/>
        </w:numPr>
        <w:ind w:firstLine="720" w:start="-720" w:end="0"/>
        <w:rPr>
          <w:b w:val="false"/>
        </w:rPr>
      </w:pPr>
      <w:r>
        <w:rPr>
          <w:b w:val="false"/>
        </w:rPr>
        <w:t>(g)</w:t>
        <w:tab/>
      </w:r>
      <w:r>
        <w:rPr>
          <w:b w:val="false"/>
          <w:u w:val="single"/>
        </w:rPr>
        <w:t>Delay or Refusal to Grant Clearances</w:t>
      </w:r>
    </w:p>
    <w:p>
      <w:pPr>
        <w:pStyle w:val="1LevelPara"/>
        <w:numPr>
          <w:ilvl w:val="0"/>
          <w:numId w:val="18"/>
        </w:numPr>
        <w:ind w:hanging="0" w:start="0"/>
        <w:rPr/>
      </w:pPr>
      <w:r>
        <w:rPr/>
        <w:t>(1)</w:t>
        <w:tab/>
        <w:t>In order to be entitled to operate the Power Station the Claimant requires to hold a consent to operate the Power Station issued by the Maharashtra Pollution Control Board (“the MPCB”), an agency of the Respondent constituted under section 4 of the Water (Prevention and Control of Pollution) Act 1974.  The MPCB is a Competent Authority.</w:t>
      </w:r>
    </w:p>
    <w:p>
      <w:pPr>
        <w:pStyle w:val="1LevelPara"/>
        <w:numPr>
          <w:ilvl w:val="0"/>
          <w:numId w:val="0"/>
        </w:numPr>
        <w:ind w:hanging="720" w:start="1440" w:end="0"/>
        <w:rPr/>
      </w:pPr>
      <w:r>
        <w:rPr/>
        <w:t>(2)</w:t>
        <w:tab/>
        <w:t>(a)</w:t>
        <w:tab/>
        <w:t>The Claimant applied to the MPCB for a clearance, namely, a consent to operate the Power Station, and was granted a consent to operate on 20</w:t>
      </w:r>
      <w:r>
        <w:rPr>
          <w:vertAlign w:val="superscript"/>
        </w:rPr>
        <w:t>th</w:t>
      </w:r>
      <w:r>
        <w:rPr/>
        <w:t xml:space="preserve"> May 1999. The Claimant’s consent to operate the Power Station was valid until 31</w:t>
      </w:r>
      <w:r>
        <w:rPr>
          <w:vertAlign w:val="superscript"/>
        </w:rPr>
        <w:t>st</w:t>
      </w:r>
      <w:r>
        <w:rPr/>
        <w:t xml:space="preserve"> March 2001.</w:t>
      </w:r>
    </w:p>
    <w:p>
      <w:pPr>
        <w:pStyle w:val="1LevelPara"/>
        <w:numPr>
          <w:ilvl w:val="0"/>
          <w:numId w:val="0"/>
        </w:numPr>
        <w:ind w:hanging="0" w:start="1440" w:end="0"/>
        <w:rPr/>
      </w:pPr>
      <w:r>
        <w:rPr/>
        <w:t>(b)</w:t>
        <w:tab/>
        <w:t>On or about 22</w:t>
      </w:r>
      <w:r>
        <w:rPr>
          <w:vertAlign w:val="superscript"/>
        </w:rPr>
        <w:t>nd</w:t>
      </w:r>
      <w:r>
        <w:rPr/>
        <w:t xml:space="preserve"> January 2001, the Claimant applied to the MPCB for a renewal of its consent to operate the Power Station for a further period to take effect as from 31</w:t>
      </w:r>
      <w:r>
        <w:rPr>
          <w:vertAlign w:val="superscript"/>
        </w:rPr>
        <w:t>st</w:t>
      </w:r>
      <w:r>
        <w:rPr/>
        <w:t xml:space="preserve"> March 2001.</w:t>
      </w:r>
    </w:p>
    <w:p>
      <w:pPr>
        <w:pStyle w:val="1LevelPara"/>
        <w:numPr>
          <w:ilvl w:val="0"/>
          <w:numId w:val="0"/>
        </w:numPr>
        <w:ind w:hanging="0" w:start="1440" w:end="0"/>
        <w:rPr/>
      </w:pPr>
      <w:r>
        <w:rPr/>
        <w:t>(c)</w:t>
        <w:tab/>
        <w:t>Although numerous requests were made of it by the Claimant prior to 31</w:t>
      </w:r>
      <w:r>
        <w:rPr>
          <w:vertAlign w:val="superscript"/>
        </w:rPr>
        <w:t>st</w:t>
      </w:r>
      <w:r>
        <w:rPr/>
        <w:t xml:space="preserve"> March 2001, the MPCB has failed to renew the Claimant’s consent to operate the Power Station for a further period as requested by the Claimant. By a letter dated 31</w:t>
      </w:r>
      <w:r>
        <w:rPr>
          <w:vertAlign w:val="superscript"/>
        </w:rPr>
        <w:t>st</w:t>
      </w:r>
      <w:r>
        <w:rPr/>
        <w:t xml:space="preserve"> March 2001 the MPCB informed the Claimant that its application for a renewal of its consent to operate had been referred to the Consent Appraisal Board of the MPCB, but that no decision had been taken. The Claimant was informed that, pending the decision of the Consent Appraisal Board of the MPCB, the Claimant might continue to treat its prior consent to operate the Power Station dated 20</w:t>
      </w:r>
      <w:r>
        <w:rPr>
          <w:vertAlign w:val="superscript"/>
        </w:rPr>
        <w:t>th</w:t>
      </w:r>
      <w:r>
        <w:rPr/>
        <w:t xml:space="preserve"> May 1999 as valid.</w:t>
      </w:r>
    </w:p>
    <w:p>
      <w:pPr>
        <w:pStyle w:val="1LevelPara"/>
        <w:numPr>
          <w:ilvl w:val="0"/>
          <w:numId w:val="0"/>
        </w:numPr>
        <w:ind w:hanging="0" w:start="720" w:end="0"/>
        <w:rPr/>
      </w:pPr>
      <w:r>
        <w:rPr/>
        <w:t>(3)</w:t>
        <w:tab/>
        <w:t>On 21</w:t>
      </w:r>
      <w:r>
        <w:rPr>
          <w:vertAlign w:val="superscript"/>
        </w:rPr>
        <w:t>st</w:t>
      </w:r>
      <w:r>
        <w:rPr/>
        <w:t xml:space="preserve"> January 2001, the Claimant commenced testing and commissioning of the first Block of Phase II.  On 24</w:t>
      </w:r>
      <w:r>
        <w:rPr>
          <w:vertAlign w:val="superscript"/>
        </w:rPr>
        <w:t>th</w:t>
      </w:r>
      <w:r>
        <w:rPr/>
        <w:t xml:space="preserve"> November 2000, the Claimant notified the MPCB in advance of its intention to test Phase II.  On 9</w:t>
      </w:r>
      <w:r>
        <w:rPr>
          <w:vertAlign w:val="superscript"/>
        </w:rPr>
        <w:t>th</w:t>
      </w:r>
      <w:r>
        <w:rPr/>
        <w:t xml:space="preserve"> March 2001, almost four months after receiving notice from the Claimant of its intention to test Phase II, the MPCB served a notice which purported to prohibit the Claimant from testing and commissioning Phase II.  MPCB withheld its permission for such testing and commissioning until 4</w:t>
      </w:r>
      <w:r>
        <w:rPr>
          <w:vertAlign w:val="superscript"/>
        </w:rPr>
        <w:t>th</w:t>
      </w:r>
      <w:r>
        <w:rPr/>
        <w:t xml:space="preserve"> April 2001, at which time it agreed to permit testing and commissioning but only for a limited period of time and only upon compliance with numerous additional conditions not included in the Claimant’s consent to establish.  There was no legal basis for the purported prohibition of the testing and commissioning of the first Block of Phase II, nor for the additional conditions, and MPCB’s actions conflicted with the practice established by MPCB and the Claimant in relation to the testing and commissioning of Phase I.</w:t>
      </w:r>
    </w:p>
    <w:p>
      <w:pPr>
        <w:pStyle w:val="1LevelPara"/>
        <w:numPr>
          <w:ilvl w:val="0"/>
          <w:numId w:val="0"/>
        </w:numPr>
        <w:ind w:hanging="0" w:start="720" w:end="0"/>
        <w:rPr/>
      </w:pPr>
      <w:r>
        <w:rPr/>
        <w:t>(4)</w:t>
        <w:tab/>
        <w:t>Subsequently, on 4</w:t>
      </w:r>
      <w:r>
        <w:rPr>
          <w:vertAlign w:val="superscript"/>
        </w:rPr>
        <w:t>th</w:t>
      </w:r>
      <w:r>
        <w:rPr/>
        <w:t xml:space="preserve"> April 2001, following representations addressed to the MPCB the MPCB purported to grant a permission to the Claimant to permit testing and commissioning under the Claimant’s consent to establish.  This action taken by the MPCB was wholly unnecessary and unwarranted.  The MPCB was not lawfully entitled to purport to limit the period for testing and commissioning to a period running from 4</w:t>
      </w:r>
      <w:r>
        <w:rPr>
          <w:vertAlign w:val="superscript"/>
        </w:rPr>
        <w:t>th</w:t>
      </w:r>
      <w:r>
        <w:rPr/>
        <w:t xml:space="preserve"> April 2001 to 30</w:t>
      </w:r>
      <w:r>
        <w:rPr>
          <w:vertAlign w:val="superscript"/>
        </w:rPr>
        <w:t>th</w:t>
      </w:r>
      <w:r>
        <w:rPr/>
        <w:t xml:space="preserve"> June 2001 because (</w:t>
      </w:r>
      <w:r>
        <w:rPr>
          <w:i/>
        </w:rPr>
        <w:t>inter alia</w:t>
      </w:r>
      <w:r>
        <w:rPr/>
        <w:t>) the Claimant was in any event fully entitled to conduct the testing and commissioning of Phase II of the Project under its consent to establish.</w:t>
      </w:r>
    </w:p>
    <w:p>
      <w:pPr>
        <w:pStyle w:val="1LevelPara"/>
        <w:numPr>
          <w:ilvl w:val="0"/>
          <w:numId w:val="0"/>
        </w:numPr>
        <w:ind w:hanging="0" w:start="720" w:end="0"/>
        <w:rPr/>
      </w:pPr>
      <w:r>
        <w:rPr/>
        <w:t>(5)</w:t>
        <w:tab/>
        <w:t>The Respondent has given directions to and/or has counselled and procured the MPCB, through its officers, to delay or to withhold the Clearances to which the Claimant is properly entitled and/or to purport to impose requirements for Clearances which the MPCB was not entitled in law to impose, or alternatively has counselled or procured the MPCB to like effect.</w:t>
      </w:r>
    </w:p>
    <w:p>
      <w:pPr>
        <w:pStyle w:val="1LevelPara"/>
        <w:numPr>
          <w:ilvl w:val="0"/>
          <w:numId w:val="0"/>
        </w:numPr>
        <w:ind w:hanging="0" w:start="720" w:end="0"/>
        <w:rPr/>
      </w:pPr>
      <w:r>
        <w:rPr/>
        <w:t>(6)</w:t>
        <w:tab/>
        <w:t>In public statements made on or about 11</w:t>
      </w:r>
      <w:r>
        <w:rPr>
          <w:vertAlign w:val="superscript"/>
        </w:rPr>
        <w:t>th</w:t>
      </w:r>
      <w:r>
        <w:rPr/>
        <w:t xml:space="preserve"> March 2001, the Chief Minister of the Respondent directed the MPCB to scrutinise operations at the Power Station three days after MPCB’s field representatives completed a plant inspection and circulated a report concluding that the plant was in compliance with all operating regulations.  The Chief Minister of the Respondent has no proper or lawful right to seek to direct or to influence the manner in which the MPCB discharges its statutory duties.</w:t>
      </w:r>
    </w:p>
    <w:p>
      <w:pPr>
        <w:pStyle w:val="Recitals"/>
        <w:numPr>
          <w:ilvl w:val="0"/>
          <w:numId w:val="0"/>
        </w:numPr>
        <w:ind w:firstLine="720" w:start="-720" w:end="0"/>
        <w:rPr/>
      </w:pPr>
      <w:r>
        <w:rPr>
          <w:b w:val="false"/>
        </w:rPr>
        <w:t>(3)</w:t>
        <w:tab/>
      </w:r>
      <w:r>
        <w:rPr>
          <w:b w:val="false"/>
          <w:u w:val="single"/>
        </w:rPr>
        <w:t>The General Nature of the Claim</w:t>
      </w:r>
    </w:p>
    <w:p>
      <w:pPr>
        <w:pStyle w:val="1LevelPara"/>
        <w:numPr>
          <w:ilvl w:val="0"/>
          <w:numId w:val="18"/>
        </w:numPr>
        <w:ind w:hanging="0" w:start="0" w:end="0"/>
        <w:rPr/>
      </w:pPr>
      <w:r>
        <w:rPr/>
        <w:t>The Claimant reserves the right to refer in the Statement of Claim herein to the provisions of Clauses 2.1, 2.2 and/or 2.3 of the Supplemental GOM Support Agreement for their full effect both individually and/or cumulatively, alternatively taken in the context of the provisions of the GOM Support Agreement.</w:t>
      </w:r>
    </w:p>
    <w:p>
      <w:pPr>
        <w:pStyle w:val="1LevelPara"/>
        <w:numPr>
          <w:ilvl w:val="0"/>
          <w:numId w:val="18"/>
        </w:numPr>
        <w:ind w:hanging="0" w:start="0" w:end="0"/>
        <w:rPr/>
      </w:pPr>
      <w:r>
        <w:rPr/>
        <w:t>The effect of Clause 2.2 of the Supplemental GOM Support Agreement was to create an express and/or an implied obligation on the part of the Respondent (a) to provide a general level of support to the Claimant in relation to its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The provisions of Clause 2 the Supplemental GOM Support Agreement also gave rise to individual obligations on the part of the Respondent.</w:t>
      </w:r>
    </w:p>
    <w:p>
      <w:pPr>
        <w:pStyle w:val="1LevelPara"/>
        <w:numPr>
          <w:ilvl w:val="0"/>
          <w:numId w:val="18"/>
        </w:numPr>
        <w:ind w:hanging="0" w:start="0" w:end="0"/>
        <w:rPr/>
      </w:pPr>
      <w:r>
        <w:rPr/>
        <w:t>The Respondent has breached this express and/or implied obligation (a) to provide a general level of support to the Claimant in relation to the enjoyment of its rights under (</w:t>
      </w:r>
      <w:r>
        <w:rPr>
          <w:i/>
        </w:rPr>
        <w:t>inter alia</w:t>
      </w:r>
      <w:r>
        <w:rPr/>
        <w:t>) the PPA, the GOI Guarantee, the Security Package, the Project Contracts, the Financing Agreements and the Clearances and/or the performance by the Claimant of its obligations under (</w:t>
      </w:r>
      <w:r>
        <w:rPr>
          <w:i/>
        </w:rPr>
        <w:t>inter alia</w:t>
      </w:r>
      <w:r>
        <w:rPr/>
        <w:t>) the Project Contracts and the Financing Agreements, and (b) not to interfere with such rights and obligations.  Further, it has breached the specific individual obligations created by the provisions of Clause 2 of the Supplemental GOM Support Agreement.</w:t>
      </w:r>
    </w:p>
    <w:p>
      <w:pPr>
        <w:pStyle w:val="1LevelPara"/>
        <w:numPr>
          <w:ilvl w:val="0"/>
          <w:numId w:val="18"/>
        </w:numPr>
        <w:ind w:hanging="0" w:start="0" w:end="0"/>
        <w:rPr/>
      </w:pPr>
      <w:r>
        <w:rPr/>
        <w:t>The Claimant sets out paragraphs 11 to 17 above and in paragraph 22 below various instances of the above breaches.  The facts or matters set out in paragraph 11 to 17 above and in paragraph 22 below are provided by way of example or instance only, and are not exhaustive.  Accordingly, the Claimant’s claim is not to be construed, limited on restricted by reference to such facts and matters only.  The Claimant reserves its rights to add to, to subtract from or to otherwise modify such instances and/or to refer to and to rely upon other facts or matters apart from those set out or referred to in paragraphs 11 to 17 above and/or in paragraph 22 below.  The Claimant further reserves its rights to refer to and to rely upon each of the instances set out in paragraphs 11 to 17 above and in paragraph 22 below, both independently and cumulatively.</w:t>
      </w:r>
    </w:p>
    <w:p>
      <w:pPr>
        <w:pStyle w:val="1LevelPara"/>
        <w:numPr>
          <w:ilvl w:val="0"/>
          <w:numId w:val="18"/>
        </w:numPr>
        <w:ind w:hanging="0" w:start="0" w:end="0"/>
        <w:rPr/>
      </w:pPr>
      <w:r>
        <w:rPr/>
        <w:t>(1)</w:t>
        <w:tab/>
        <w:t>Ministers and officials of the Respondent have made public statements which are inconsistent with the maintenance of support for the development of the Project by the Respondent.  By way of example only, on 27</w:t>
      </w:r>
      <w:r>
        <w:rPr>
          <w:vertAlign w:val="superscript"/>
        </w:rPr>
        <w:t>th</w:t>
      </w:r>
      <w:r>
        <w:rPr/>
        <w:t xml:space="preserve"> March 2001 the Finance Minister of the Respondent made a speech to the Legislative Assembly for the State of Maharashtra, referring to a special committee established by the Respondent to review the PPA and requesting the “Central Government to take over the entire project directly …”.  In the event, the Respondent has established an Energy Review Committee, the terms of reference of which require it to “… review and reconsider the provisions of the PPA…”.  The Energy Review Committee was neither invited nor required by the Respondent to review or to assess the costs or the tariff of any other private sector power station operator in the State of Maharashtra, nor has it in fact done so.</w:t>
      </w:r>
    </w:p>
    <w:p>
      <w:pPr>
        <w:pStyle w:val="Body"/>
        <w:spacing w:lineRule="auto" w:line="360"/>
        <w:ind w:firstLine="720" w:end="0"/>
        <w:rPr>
          <w:rFonts w:ascii="Times" w:hAnsi="Times" w:cs="Times"/>
          <w:sz w:val="22"/>
        </w:rPr>
      </w:pPr>
      <w:r>
        <w:rPr>
          <w:rFonts w:cs="Times" w:ascii="Times" w:hAnsi="Times"/>
          <w:sz w:val="22"/>
        </w:rPr>
        <w:t>(2)</w:t>
        <w:tab/>
        <w:t xml:space="preserve">The Respondent has failed to perform its obligations under the GOM Guarantee: </w:t>
      </w:r>
    </w:p>
    <w:p>
      <w:pPr>
        <w:pStyle w:val="Body"/>
        <w:spacing w:lineRule="auto" w:line="360"/>
        <w:ind w:start="1440" w:end="0"/>
        <w:rPr>
          <w:rFonts w:ascii="Times" w:hAnsi="Times" w:cs="Times"/>
          <w:sz w:val="22"/>
        </w:rPr>
      </w:pPr>
      <w:r>
        <w:rPr>
          <w:rFonts w:cs="Times" w:ascii="Times" w:hAnsi="Times"/>
          <w:sz w:val="22"/>
        </w:rPr>
        <w:t>(a)</w:t>
        <w:tab/>
        <w:t>on four occasions since 1st February 2001 it has failed to satisfy demands made of it by the Claimant under the GOM Guarantee;</w:t>
      </w:r>
    </w:p>
    <w:p>
      <w:pPr>
        <w:pStyle w:val="Body"/>
        <w:spacing w:lineRule="auto" w:line="360"/>
        <w:ind w:start="1440" w:end="0"/>
        <w:rPr/>
      </w:pPr>
      <w:r>
        <w:rPr>
          <w:rFonts w:cs="Times" w:ascii="Times" w:hAnsi="Times"/>
          <w:sz w:val="22"/>
        </w:rPr>
        <w:t>(b)</w:t>
        <w:tab/>
        <w:t>on 5</w:t>
      </w:r>
      <w:r>
        <w:rPr>
          <w:rFonts w:cs="Times" w:ascii="Times" w:hAnsi="Times"/>
          <w:sz w:val="22"/>
          <w:vertAlign w:val="superscript"/>
        </w:rPr>
        <w:t>th</w:t>
      </w:r>
      <w:r>
        <w:rPr>
          <w:rFonts w:cs="Times" w:ascii="Times" w:hAnsi="Times"/>
          <w:sz w:val="22"/>
        </w:rPr>
        <w:t xml:space="preserve"> February 2001, the Finance and Planning Minister of the Respondent stated that such demands had not been honoured by way of a “strategic decision” on the basis that the Respondent wished “to scrap the power purchase agreement”.</w:t>
      </w:r>
    </w:p>
    <w:p>
      <w:pPr>
        <w:pStyle w:val="Body"/>
        <w:spacing w:lineRule="auto" w:line="360"/>
        <w:ind w:firstLine="720" w:end="0"/>
        <w:rPr/>
      </w:pPr>
      <w:r>
        <w:rPr>
          <w:rFonts w:cs="Times" w:ascii="Times" w:hAnsi="Times"/>
          <w:sz w:val="22"/>
        </w:rPr>
        <w:t>(3)</w:t>
        <w:tab/>
        <w:t>The Respondent has acted in such a way as to procure the breach of the GOI Guarantee.  By a letter dated 7</w:t>
      </w:r>
      <w:r>
        <w:rPr>
          <w:rFonts w:cs="Times" w:ascii="Times" w:hAnsi="Times"/>
          <w:sz w:val="22"/>
          <w:vertAlign w:val="superscript"/>
        </w:rPr>
        <w:t>th</w:t>
      </w:r>
      <w:r>
        <w:rPr>
          <w:rFonts w:cs="Times" w:ascii="Times" w:hAnsi="Times"/>
          <w:sz w:val="22"/>
        </w:rPr>
        <w:t xml:space="preserve"> March 2001, the Claimant made demand upon the GOI pursuant to the provisions of the GOI Guarantee.  By a letter dated 31</w:t>
      </w:r>
      <w:r>
        <w:rPr>
          <w:rFonts w:cs="Times" w:ascii="Times" w:hAnsi="Times"/>
          <w:sz w:val="22"/>
          <w:vertAlign w:val="superscript"/>
        </w:rPr>
        <w:t>st</w:t>
      </w:r>
      <w:r>
        <w:rPr>
          <w:rFonts w:cs="Times" w:ascii="Times" w:hAnsi="Times"/>
          <w:sz w:val="22"/>
        </w:rPr>
        <w:t xml:space="preserve"> March 2001 the GOI wrongfully refused to pay under the GOI Guarantee.  In paragraph 5 of that letter the GOI referred to a letter having been received by it from the Respondent dated 15</w:t>
      </w:r>
      <w:r>
        <w:rPr>
          <w:rFonts w:cs="Times" w:ascii="Times" w:hAnsi="Times"/>
          <w:sz w:val="22"/>
          <w:vertAlign w:val="superscript"/>
        </w:rPr>
        <w:t>th</w:t>
      </w:r>
      <w:r>
        <w:rPr>
          <w:rFonts w:cs="Times" w:ascii="Times" w:hAnsi="Times"/>
          <w:sz w:val="22"/>
        </w:rPr>
        <w:t xml:space="preserve"> March 2001 requesting, requiring, encouraging, counselling and (in the event) procuring that the GOI not make any payment to the Claimant.</w:t>
      </w:r>
    </w:p>
    <w:p>
      <w:pPr>
        <w:pStyle w:val="Body"/>
        <w:spacing w:lineRule="auto" w:line="360"/>
        <w:ind w:firstLine="720" w:end="0"/>
        <w:rPr/>
      </w:pPr>
      <w:r>
        <w:rPr>
          <w:rFonts w:cs="Times" w:ascii="Times" w:hAnsi="Times"/>
          <w:sz w:val="22"/>
        </w:rPr>
        <w:t>(4)</w:t>
        <w:tab/>
        <w:t>The Respondent has directed and/or procured breaches of the PPA by MSEB.  The Respondent controls the board of directors of the MSEB.  In addition, it controls the finances of MSEB.  As a practical matter, it is able to exert, and does in fact exert, a high degree of control over the management of MSEB and the conduct of MSEB’s day-to-day business. For a number of months the MSEB has persistently failed to pay to the Claimant all such sums as having become due to it under the PPA punctually or (in certain cases) at all.  Further, since 28</w:t>
      </w:r>
      <w:r>
        <w:rPr>
          <w:rFonts w:cs="Times" w:ascii="Times" w:hAnsi="Times"/>
          <w:sz w:val="22"/>
          <w:vertAlign w:val="superscript"/>
        </w:rPr>
        <w:t>th</w:t>
      </w:r>
      <w:r>
        <w:rPr>
          <w:rFonts w:cs="Times" w:ascii="Times" w:hAnsi="Times"/>
          <w:sz w:val="22"/>
        </w:rPr>
        <w:t xml:space="preserve"> January 2001 the MSEB has engaged in a practice of seeking to despatch the Power Station in such a way as to make compliance by the Claimant with the relevant provisions of the PPA practically difficult or impossible (with a view to securing opportunities for the MSEB to claim that it is entitled to assert claims for availability rebates under the PPA as against the Claimant).</w:t>
      </w:r>
    </w:p>
    <w:p>
      <w:pPr>
        <w:pStyle w:val="Body"/>
        <w:spacing w:lineRule="auto" w:line="360"/>
        <w:ind w:firstLine="720" w:end="0"/>
        <w:rPr/>
      </w:pPr>
      <w:r>
        <w:rPr>
          <w:rFonts w:cs="Times" w:ascii="Times" w:hAnsi="Times"/>
          <w:sz w:val="22"/>
        </w:rPr>
        <w:t>(5)</w:t>
        <w:tab/>
        <w:t>The Respondent has delayed or refused or participated in the refusal of Clearances.  In particular, the Claimant is required to hold a consent to operate the Power Station issued by the MPCB.  The MPCB has failed (without good reason) to renew the Claimant’s consent to operate the Power Station for a further period of five years as requested by the Claimant on 22</w:t>
      </w:r>
      <w:r>
        <w:rPr>
          <w:rFonts w:cs="Times" w:ascii="Times" w:hAnsi="Times"/>
          <w:sz w:val="22"/>
          <w:vertAlign w:val="superscript"/>
        </w:rPr>
        <w:t>nd</w:t>
      </w:r>
      <w:r>
        <w:rPr>
          <w:rFonts w:cs="Times" w:ascii="Times" w:hAnsi="Times"/>
          <w:sz w:val="22"/>
        </w:rPr>
        <w:t xml:space="preserve"> January 2001.  Despite requests from the Claimant for assistance in connection with the renewal of the Clearances, the Respondent has rendered no such assistance.  The Claimant’s case will be that the Respondent has given directions to and/or has counselled and procured the MPCB to delay or withhold the Clearances to which the Claimant is entitled and/or to impose requirements which the MPCB was not entitled to impose.</w:t>
      </w:r>
    </w:p>
    <w:p>
      <w:pPr>
        <w:pStyle w:val="Recitals"/>
        <w:numPr>
          <w:ilvl w:val="0"/>
          <w:numId w:val="0"/>
        </w:numPr>
        <w:ind w:firstLine="720" w:start="-720" w:end="0"/>
        <w:rPr>
          <w:b w:val="false"/>
        </w:rPr>
      </w:pPr>
      <w:r>
        <w:rPr>
          <w:b w:val="false"/>
        </w:rPr>
        <w:t>(4)</w:t>
        <w:tab/>
      </w:r>
      <w:r>
        <w:rPr>
          <w:b w:val="false"/>
          <w:u w:val="single"/>
        </w:rPr>
        <w:t>Amount of the Claim</w:t>
      </w:r>
    </w:p>
    <w:p>
      <w:pPr>
        <w:pStyle w:val="1LevelPara"/>
        <w:numPr>
          <w:ilvl w:val="0"/>
          <w:numId w:val="18"/>
        </w:numPr>
        <w:ind w:hanging="0" w:start="0" w:end="0"/>
        <w:rPr/>
      </w:pPr>
      <w:r>
        <w:rPr/>
        <w:t>The amount of the Claimant’s claim for damages is a sum in excess of U.S.$50,000,000.</w:t>
      </w:r>
    </w:p>
    <w:p>
      <w:pPr>
        <w:pStyle w:val="1LevelPara"/>
        <w:numPr>
          <w:ilvl w:val="0"/>
          <w:numId w:val="18"/>
        </w:numPr>
        <w:ind w:hanging="0" w:start="0" w:end="0"/>
        <w:rPr/>
      </w:pPr>
      <w:r>
        <w:rPr/>
        <w:t>The Claimant seeks the following relief:</w:t>
      </w:r>
    </w:p>
    <w:p>
      <w:pPr>
        <w:pStyle w:val="Body"/>
        <w:ind w:start="720" w:end="0"/>
        <w:rPr>
          <w:rFonts w:ascii="Times" w:hAnsi="Times" w:cs="Times"/>
          <w:sz w:val="22"/>
        </w:rPr>
      </w:pPr>
      <w:r>
        <w:rPr>
          <w:rFonts w:cs="Times" w:ascii="Times" w:hAnsi="Times"/>
          <w:sz w:val="22"/>
        </w:rPr>
        <w:t>(1)</w:t>
        <w:tab/>
        <w:t>The Claimant claims declarations as follows:</w:t>
      </w:r>
    </w:p>
    <w:p>
      <w:pPr>
        <w:pStyle w:val="Body"/>
        <w:spacing w:lineRule="auto" w:line="360"/>
        <w:ind w:hanging="720" w:start="1440" w:end="0"/>
        <w:rPr>
          <w:rFonts w:ascii="Times" w:hAnsi="Times" w:cs="Times"/>
          <w:sz w:val="22"/>
        </w:rPr>
      </w:pPr>
      <w:r>
        <w:rPr>
          <w:rFonts w:cs="Times" w:ascii="Times" w:hAnsi="Times"/>
          <w:sz w:val="22"/>
        </w:rPr>
        <w:tab/>
        <w:t>(a)</w:t>
        <w:tab/>
        <w:t>that the Supplemental GOM Support Agreement is valid in accordance with its terms and conditions and that the Respondent is unconditionally and irrevocably bound by the obligations which it has assumed thereunder;</w:t>
      </w:r>
    </w:p>
    <w:p>
      <w:pPr>
        <w:pStyle w:val="Body"/>
        <w:spacing w:lineRule="auto" w:line="360"/>
        <w:ind w:hanging="720" w:start="1440" w:end="0"/>
        <w:rPr>
          <w:rFonts w:ascii="Times" w:hAnsi="Times" w:cs="Times"/>
          <w:sz w:val="22"/>
        </w:rPr>
      </w:pPr>
      <w:r>
        <w:rPr>
          <w:rFonts w:cs="Times" w:ascii="Times" w:hAnsi="Times"/>
          <w:sz w:val="22"/>
        </w:rPr>
        <w:tab/>
        <w:t>(b)</w:t>
        <w:tab/>
        <w:t>as to the respective rights and obligations of the parties under the Supplemental GOM Support Agreement; and/or</w:t>
      </w:r>
    </w:p>
    <w:p>
      <w:pPr>
        <w:pStyle w:val="Body"/>
        <w:spacing w:lineRule="auto" w:line="360"/>
        <w:ind w:hanging="720" w:start="1440" w:end="0"/>
        <w:rPr>
          <w:rFonts w:ascii="Times" w:hAnsi="Times" w:cs="Times"/>
          <w:sz w:val="22"/>
        </w:rPr>
      </w:pPr>
      <w:r>
        <w:rPr>
          <w:rFonts w:cs="Times" w:ascii="Times" w:hAnsi="Times"/>
          <w:sz w:val="22"/>
        </w:rPr>
        <w:tab/>
        <w:t>(c)</w:t>
        <w:tab/>
        <w:t>that the Respondent is in default of its obligations under the Supplemental GOM Support Agreement.</w:t>
      </w:r>
    </w:p>
    <w:p>
      <w:pPr>
        <w:pStyle w:val="Body"/>
        <w:spacing w:lineRule="auto" w:line="360"/>
        <w:ind w:hanging="720" w:start="1440" w:end="0"/>
        <w:rPr>
          <w:rFonts w:ascii="Times" w:hAnsi="Times" w:cs="Times"/>
          <w:sz w:val="22"/>
        </w:rPr>
      </w:pPr>
      <w:r>
        <w:rPr>
          <w:rFonts w:cs="Times" w:ascii="Times" w:hAnsi="Times"/>
          <w:sz w:val="22"/>
        </w:rPr>
        <w:t>(2)</w:t>
        <w:tab/>
        <w:t>The Claimant claims the specific performance by the Respondent of each and every of the obligations imposed upon it under the Supplemental GOM Support Agreement and an order that the Respondent forthwith performs in full, punctually and strictly in accordance with its terms and conditions, all such obligations.</w:t>
      </w:r>
    </w:p>
    <w:p>
      <w:pPr>
        <w:pStyle w:val="Body"/>
        <w:spacing w:lineRule="auto" w:line="360"/>
        <w:ind w:hanging="720" w:start="1440" w:end="0"/>
        <w:rPr>
          <w:rFonts w:ascii="Times" w:hAnsi="Times" w:cs="Times"/>
          <w:sz w:val="22"/>
        </w:rPr>
      </w:pPr>
      <w:r>
        <w:rPr>
          <w:rFonts w:cs="Times" w:ascii="Times" w:hAnsi="Times"/>
          <w:sz w:val="22"/>
        </w:rPr>
        <w:t>(3)</w:t>
        <w:tab/>
        <w:t>The Claimant claims damages for the losses sustained by it by reason of the breaches of the Supplemental GOM Support Agreement.</w:t>
      </w:r>
    </w:p>
    <w:p>
      <w:pPr>
        <w:pStyle w:val="Body"/>
        <w:ind w:hanging="720" w:start="1440" w:end="0"/>
        <w:rPr>
          <w:rFonts w:ascii="Times" w:hAnsi="Times" w:cs="Times"/>
          <w:sz w:val="22"/>
        </w:rPr>
      </w:pPr>
      <w:r>
        <w:rPr>
          <w:rFonts w:cs="Times" w:ascii="Times" w:hAnsi="Times"/>
          <w:sz w:val="22"/>
        </w:rPr>
        <w:t>(4)</w:t>
        <w:tab/>
        <w:t>Further and other relief.</w:t>
      </w:r>
    </w:p>
    <w:p>
      <w:pPr>
        <w:pStyle w:val="Body"/>
        <w:ind w:hanging="720" w:start="1440" w:end="0"/>
        <w:rPr>
          <w:rFonts w:ascii="Times" w:hAnsi="Times" w:cs="Times"/>
          <w:sz w:val="22"/>
        </w:rPr>
      </w:pPr>
      <w:r>
        <w:rPr>
          <w:rFonts w:cs="Times" w:ascii="Times" w:hAnsi="Times"/>
          <w:sz w:val="22"/>
        </w:rPr>
        <w:t>(5)</w:t>
        <w:tab/>
        <w:t>Costs.</w:t>
      </w:r>
    </w:p>
    <w:p>
      <w:pPr>
        <w:pStyle w:val="1LevelPara"/>
        <w:numPr>
          <w:ilvl w:val="0"/>
          <w:numId w:val="18"/>
        </w:numPr>
        <w:ind w:hanging="0" w:start="0" w:end="0"/>
        <w:rPr/>
      </w:pPr>
      <w:r>
        <w:rPr/>
        <w:t>The Claimant reserves its rights to add to, subtract from or modify otherwise the relief sought.</w:t>
      </w:r>
    </w:p>
    <w:p>
      <w:pPr>
        <w:pStyle w:val="Recitals"/>
        <w:numPr>
          <w:ilvl w:val="0"/>
          <w:numId w:val="3"/>
        </w:numPr>
        <w:ind w:hanging="0" w:start="0"/>
        <w:rPr/>
      </w:pPr>
      <w:r>
        <w:rPr>
          <w:u w:val="single"/>
        </w:rPr>
        <w:t>Number of and Nationality of the Arbitrators</w:t>
      </w:r>
    </w:p>
    <w:p>
      <w:pPr>
        <w:pStyle w:val="1LevelPara"/>
        <w:numPr>
          <w:ilvl w:val="0"/>
          <w:numId w:val="18"/>
        </w:numPr>
        <w:ind w:hanging="0" w:start="0"/>
        <w:rPr/>
      </w:pPr>
      <w:r>
        <w:rPr/>
        <w:t>(1)</w:t>
        <w:tab/>
        <w:t>The parties have previously agreed, pursuant to Clauses 11.1 to 11.3 of the GOM Support Agreement, that the number of arbitrators shall be three.</w:t>
      </w:r>
    </w:p>
    <w:p>
      <w:pPr>
        <w:pStyle w:val="1LevelPara"/>
        <w:numPr>
          <w:ilvl w:val="0"/>
          <w:numId w:val="0"/>
        </w:numPr>
        <w:ind w:hanging="0" w:start="720" w:end="0"/>
        <w:rPr/>
      </w:pPr>
      <w:r>
        <w:rPr/>
        <w:t>(2)</w:t>
        <w:tab/>
        <w:t>The parties have further previously agreed, pursuant to the provisions of Clause 11.2 of the GOM Support Agreement, that no arbitrator shall be a national of India or of the United States of America.</w:t>
      </w:r>
    </w:p>
    <w:p>
      <w:pPr>
        <w:pStyle w:val="Recitals"/>
        <w:numPr>
          <w:ilvl w:val="0"/>
          <w:numId w:val="3"/>
        </w:numPr>
        <w:ind w:hanging="0" w:start="0"/>
        <w:rPr/>
      </w:pPr>
      <w:r>
        <w:rPr>
          <w:u w:val="single"/>
        </w:rPr>
        <w:t>Appointment of Arbitrator by the Claimant</w:t>
      </w:r>
    </w:p>
    <w:p>
      <w:pPr>
        <w:pStyle w:val="1LevelPara"/>
        <w:numPr>
          <w:ilvl w:val="0"/>
          <w:numId w:val="18"/>
        </w:numPr>
        <w:ind w:hanging="0" w:start="0" w:end="0"/>
        <w:rPr/>
      </w:pPr>
      <w:r>
        <w:rPr/>
        <w:t>The Claimant notifies the Respondent that the Claimant has appointed the person named below as an arbitrator in accordance with Article 7 of the UNCITRAL Arbitration Rules:</w:t>
      </w:r>
    </w:p>
    <w:p>
      <w:pPr>
        <w:pStyle w:val="1LevelPara"/>
        <w:numPr>
          <w:ilvl w:val="0"/>
          <w:numId w:val="0"/>
        </w:numPr>
        <w:ind w:hanging="0" w:start="720" w:end="0"/>
        <w:rPr/>
      </w:pPr>
      <w:r>
        <w:rPr/>
        <w:t>The Honourable Andrew John Rogers Q.C. (formerly Chief Judge of the Commercial Division of the Supreme Court of New South Wales) of Level 7, 233 Macquarie Street, Sydney 2000, Australia.</w:t>
      </w:r>
    </w:p>
    <w:p>
      <w:pPr>
        <w:pStyle w:val="1LevelPara"/>
        <w:numPr>
          <w:ilvl w:val="0"/>
          <w:numId w:val="0"/>
        </w:numPr>
        <w:ind w:hanging="720" w:start="720" w:end="0"/>
        <w:rPr/>
      </w:pPr>
      <w:r>
        <w:rPr/>
        <w:t>The person appointed is a national of the Commonwealth of Australia.</w:t>
      </w:r>
    </w:p>
    <w:p>
      <w:pPr>
        <w:pStyle w:val="Recitals"/>
        <w:numPr>
          <w:ilvl w:val="0"/>
          <w:numId w:val="3"/>
        </w:numPr>
        <w:ind w:hanging="0" w:start="0"/>
        <w:rPr/>
      </w:pPr>
      <w:r>
        <w:rPr>
          <w:u w:val="single"/>
        </w:rPr>
        <w:t>Notice to the Respondent to Appoint an Arbitrator</w:t>
      </w:r>
    </w:p>
    <w:p>
      <w:pPr>
        <w:pStyle w:val="1LevelPara"/>
        <w:numPr>
          <w:ilvl w:val="0"/>
          <w:numId w:val="0"/>
        </w:numPr>
        <w:ind w:hanging="0" w:start="0"/>
        <w:rPr/>
      </w:pPr>
      <w:r>
        <w:rPr/>
        <w:t xml:space="preserve">28. </w:t>
        <w:tab/>
        <w:t xml:space="preserve">The Claimant calls upon the Respondent to appoint an arbitrator within a period of thirty days. The Claimant calls to the attention of the Respondent the provisions of Article 7 of the UNCITRAL Arbitration Rules with respect to the appointment by the Respondent of an </w:t>
        <w:br/>
        <w:t xml:space="preserve">arbitrator and to the procedures available to the Claimant in the event that the Respondent has not within thirty days after the receipt of this Notice of Arbitration appointed an arbitrator. </w:t>
      </w:r>
    </w:p>
    <w:p>
      <w:pPr>
        <w:pStyle w:val="1LevelPara"/>
        <w:numPr>
          <w:ilvl w:val="0"/>
          <w:numId w:val="0"/>
        </w:numPr>
        <w:spacing w:lineRule="auto" w:line="240" w:before="0" w:after="0"/>
        <w:ind w:hanging="0" w:start="0"/>
        <w:rPr/>
      </w:pPr>
      <w:r>
        <w:rPr/>
      </w:r>
    </w:p>
    <w:p>
      <w:pPr>
        <w:pStyle w:val="1LevelPara"/>
        <w:numPr>
          <w:ilvl w:val="0"/>
          <w:numId w:val="0"/>
        </w:numPr>
        <w:spacing w:lineRule="auto" w:line="240" w:before="0" w:after="0"/>
        <w:ind w:hanging="0" w:start="0"/>
        <w:rPr/>
      </w:pPr>
      <w:r>
        <w:rPr/>
      </w:r>
    </w:p>
    <w:p>
      <w:pPr>
        <w:pStyle w:val="1LevelPara"/>
        <w:numPr>
          <w:ilvl w:val="0"/>
          <w:numId w:val="0"/>
        </w:numPr>
        <w:ind w:hanging="0" w:start="0"/>
        <w:rPr>
          <w:b/>
        </w:rPr>
      </w:pPr>
      <w:r>
        <w:rPr>
          <w:b/>
        </w:rPr>
        <w:t>For and on behalf of the Dabhol Power Company:</w:t>
      </w:r>
    </w:p>
    <w:p>
      <w:pPr>
        <w:pStyle w:val="1LevelPara"/>
        <w:numPr>
          <w:ilvl w:val="0"/>
          <w:numId w:val="0"/>
        </w:numPr>
        <w:ind w:hanging="0" w:start="0"/>
        <w:rPr>
          <w:b/>
        </w:rPr>
      </w:pPr>
      <w:r>
        <w:rPr>
          <w:b/>
        </w:rPr>
      </w:r>
    </w:p>
    <w:p>
      <w:pPr>
        <w:pStyle w:val="1LevelPara"/>
        <w:numPr>
          <w:ilvl w:val="0"/>
          <w:numId w:val="0"/>
        </w:numPr>
        <w:ind w:hanging="0" w:start="0"/>
        <w:rPr>
          <w:b/>
        </w:rPr>
      </w:pPr>
      <w:r>
        <w:rPr>
          <w:b/>
        </w:rPr>
        <w:t>Signature:</w:t>
      </w:r>
    </w:p>
    <w:p>
      <w:pPr>
        <w:pStyle w:val="1LevelPara"/>
        <w:numPr>
          <w:ilvl w:val="0"/>
          <w:numId w:val="0"/>
        </w:numPr>
        <w:ind w:hanging="0" w:start="0"/>
        <w:rPr>
          <w:b/>
        </w:rPr>
      </w:pPr>
      <w:r>
        <w:rPr>
          <w:b/>
        </w:rPr>
        <w:t>Name:</w:t>
      </w:r>
    </w:p>
    <w:p>
      <w:pPr>
        <w:pStyle w:val="1LevelPara"/>
        <w:numPr>
          <w:ilvl w:val="0"/>
          <w:numId w:val="0"/>
        </w:numPr>
        <w:ind w:hanging="0" w:start="0"/>
        <w:rPr>
          <w:b/>
        </w:rPr>
      </w:pPr>
      <w:r>
        <w:rPr>
          <w:b/>
        </w:rPr>
        <w:t>Designation:</w:t>
      </w:r>
    </w:p>
    <w:p>
      <w:pPr>
        <w:pStyle w:val="1LevelPara"/>
        <w:keepNext w:val="true"/>
        <w:numPr>
          <w:ilvl w:val="0"/>
          <w:numId w:val="0"/>
        </w:numPr>
        <w:spacing w:before="0" w:after="0"/>
        <w:ind w:hanging="0" w:start="0"/>
        <w:rPr/>
      </w:pPr>
      <w:r>
        <w:rPr>
          <w:b/>
        </w:rPr>
        <w:t>Date:</w:t>
      </w:r>
      <w:r>
        <w:rPr/>
        <w:tab/>
        <w:tab/>
        <w:t>10</w:t>
      </w:r>
      <w:r>
        <w:rPr>
          <w:vertAlign w:val="superscript"/>
        </w:rPr>
        <w:t>th</w:t>
      </w:r>
      <w:r>
        <w:rPr/>
        <w:t xml:space="preserve"> April 2001</w:t>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b/>
        </w:rPr>
      </w:pPr>
      <w:r>
        <w:rPr>
          <w:b/>
        </w:rPr>
      </w:r>
    </w:p>
    <w:p>
      <w:pPr>
        <w:pStyle w:val="1LevelPara"/>
        <w:numPr>
          <w:ilvl w:val="0"/>
          <w:numId w:val="0"/>
        </w:numPr>
        <w:ind w:hanging="0" w:start="0"/>
        <w:rPr/>
      </w:pPr>
      <w:r>
        <w:rPr>
          <w:b/>
        </w:rPr>
        <w:t>Served</w:t>
      </w:r>
      <w:r>
        <w:rPr/>
        <w:t xml:space="preserve"> this 10</w:t>
      </w:r>
      <w:r>
        <w:rPr>
          <w:vertAlign w:val="superscript"/>
        </w:rPr>
        <w:t>th</w:t>
      </w:r>
      <w:r>
        <w:rPr/>
        <w:t xml:space="preserve"> day of April 2001 by Messrs Linklaters of Alexandra House (10</w:t>
      </w:r>
      <w:r>
        <w:rPr>
          <w:vertAlign w:val="superscript"/>
        </w:rPr>
        <w:t>th</w:t>
      </w:r>
      <w:r>
        <w:rPr/>
        <w:t xml:space="preserve"> floor), 16-20 Chater Road, Central, Hong Kong, Solicitors for the Claimant.</w:t>
      </w:r>
      <w:r>
        <w:br w:type="page"/>
      </w:r>
    </w:p>
    <w:p>
      <w:pPr>
        <w:pStyle w:val="Heading10"/>
        <w:jc w:val="center"/>
        <w:rPr>
          <w:u w:val="single"/>
        </w:rPr>
      </w:pPr>
      <w:r>
        <w:rPr>
          <w:u w:val="single"/>
        </w:rPr>
        <w:t>Annexure</w:t>
      </w:r>
    </w:p>
    <w:p>
      <w:pPr>
        <w:pStyle w:val="1LevelPara"/>
        <w:keepNext w:val="true"/>
        <w:numPr>
          <w:ilvl w:val="0"/>
          <w:numId w:val="0"/>
        </w:numPr>
        <w:spacing w:lineRule="auto" w:line="240"/>
        <w:ind w:hanging="0" w:start="720" w:end="0"/>
        <w:rPr>
          <w:i/>
          <w:i/>
          <w:u w:val="single"/>
        </w:rPr>
      </w:pPr>
      <w:r>
        <w:rPr>
          <w:i/>
          <w:u w:val="single"/>
        </w:rPr>
      </w:r>
    </w:p>
    <w:p>
      <w:pPr>
        <w:pStyle w:val="1LevelPara"/>
        <w:numPr>
          <w:ilvl w:val="0"/>
          <w:numId w:val="0"/>
        </w:numPr>
        <w:spacing w:lineRule="auto" w:line="240"/>
        <w:ind w:hanging="0" w:start="0"/>
        <w:rPr>
          <w:i/>
          <w:i/>
        </w:rPr>
      </w:pPr>
      <w:r>
        <w:rPr>
          <w:i/>
        </w:rPr>
        <w:t>“</w:t>
      </w:r>
      <w:r>
        <w:rPr>
          <w:i/>
        </w:rPr>
        <w:t>11.</w:t>
        <w:tab/>
        <w:t>Arbitration</w:t>
      </w:r>
    </w:p>
    <w:p>
      <w:pPr>
        <w:pStyle w:val="1LevelPara"/>
        <w:numPr>
          <w:ilvl w:val="0"/>
          <w:numId w:val="0"/>
        </w:numPr>
        <w:spacing w:lineRule="auto" w:line="240"/>
        <w:ind w:hanging="0" w:start="0"/>
        <w:rPr>
          <w:i/>
          <w:i/>
        </w:rPr>
      </w:pPr>
      <w:r>
        <w:rPr>
          <w:i/>
        </w:rPr>
        <w:t>11.1</w:t>
        <w:tab/>
        <w:t>Reference to arbitration</w:t>
      </w:r>
    </w:p>
    <w:p>
      <w:pPr>
        <w:pStyle w:val="1LevelPara"/>
        <w:numPr>
          <w:ilvl w:val="0"/>
          <w:numId w:val="0"/>
        </w:numPr>
        <w:spacing w:lineRule="auto" w:line="240"/>
        <w:ind w:hanging="0" w:start="0"/>
        <w:rPr>
          <w:i/>
          <w:i/>
        </w:rPr>
      </w:pPr>
      <w:r>
        <w:rPr>
          <w:i/>
        </w:rPr>
        <w:t>(a)</w:t>
        <w:tab/>
        <w:t>Any dispute or differences (each a “dispute”) arising out of or in connection with this Agreement shall (regardless of the nature of the dispute) be referred to arbitration in accordance with the provisions of the UNCITRAL Arbitration Rules (i.e. the Arbitration Rules of the United Nations Commission on International Trade Law set out in Resolution 31/98 adopted by the General Assembly on 15 December 1976 and referred to herein as “the Rules” as at present in force by a panel of three arbitrators (or such lesser number as the parties may agree) appointed in accordance with the Rules.</w:t>
      </w:r>
    </w:p>
    <w:p>
      <w:pPr>
        <w:pStyle w:val="1LevelPara"/>
        <w:numPr>
          <w:ilvl w:val="0"/>
          <w:numId w:val="0"/>
        </w:numPr>
        <w:spacing w:lineRule="auto" w:line="240"/>
        <w:ind w:hanging="0" w:start="0"/>
        <w:rPr>
          <w:i/>
          <w:i/>
        </w:rPr>
      </w:pPr>
      <w:r>
        <w:rPr>
          <w:i/>
        </w:rPr>
        <w:t>(b)</w:t>
        <w:tab/>
        <w:t>Where the Rules do not deal with any issue arising in connection with the conduct and or procedure of the arbitration such issue shall be resolved in accordance with the law of the place in which the arbitrator is held.</w:t>
      </w:r>
    </w:p>
    <w:p>
      <w:pPr>
        <w:pStyle w:val="1LevelPara"/>
        <w:numPr>
          <w:ilvl w:val="0"/>
          <w:numId w:val="0"/>
        </w:numPr>
        <w:spacing w:lineRule="auto" w:line="240"/>
        <w:ind w:hanging="0" w:start="0"/>
        <w:rPr>
          <w:i/>
          <w:i/>
        </w:rPr>
      </w:pPr>
      <w:r>
        <w:rPr>
          <w:i/>
        </w:rPr>
        <w:t>(c)</w:t>
        <w:tab/>
        <w:t>The New York Convention on the Recognition and Enforcement of Foreign Arbitral Awards (“the Convention”) shall apply to any award resulting from an arbitration pursuant to this Clause and any such award shall for the purposes of the Convention, the laws of India and the laws of any other country in which the recognition and/or enforcement of the award may be sought, be treated as relating to a dispute or disputes arising out of a commercial legal relationship and not as domestic award.</w:t>
      </w:r>
    </w:p>
    <w:p>
      <w:pPr>
        <w:pStyle w:val="1LevelPara"/>
        <w:numPr>
          <w:ilvl w:val="0"/>
          <w:numId w:val="0"/>
        </w:numPr>
        <w:spacing w:lineRule="auto" w:line="240"/>
        <w:ind w:hanging="0" w:start="0"/>
        <w:rPr>
          <w:i/>
          <w:i/>
        </w:rPr>
      </w:pPr>
      <w:r>
        <w:rPr>
          <w:i/>
        </w:rPr>
        <w:t>(d)</w:t>
        <w:tab/>
        <w:t>Any dispute arising after the date on which no amount is owed or capable of being owed to the lenders under the relevant Financing Agreements shall be finally settled by arbitration under the Arbitration Acts of India.</w:t>
      </w:r>
    </w:p>
    <w:p>
      <w:pPr>
        <w:pStyle w:val="1LevelPara"/>
        <w:numPr>
          <w:ilvl w:val="0"/>
          <w:numId w:val="0"/>
        </w:numPr>
        <w:spacing w:lineRule="auto" w:line="240"/>
        <w:ind w:hanging="0" w:start="0"/>
        <w:rPr>
          <w:i/>
          <w:i/>
        </w:rPr>
      </w:pPr>
      <w:r>
        <w:rPr>
          <w:i/>
        </w:rPr>
        <w:t>(e)</w:t>
        <w:tab/>
        <w:t>Arbitration proceedings pursuant to paragraph (a) shall be held in London Arbitration proceedings conducted pursuant to paragraph (d) shall be held in New Delhi, India.</w:t>
      </w:r>
    </w:p>
    <w:p>
      <w:pPr>
        <w:pStyle w:val="1LevelPara"/>
        <w:numPr>
          <w:ilvl w:val="0"/>
          <w:numId w:val="0"/>
        </w:numPr>
        <w:spacing w:lineRule="auto" w:line="240"/>
        <w:ind w:hanging="0" w:start="0"/>
        <w:rPr>
          <w:i/>
          <w:i/>
        </w:rPr>
      </w:pPr>
      <w:r>
        <w:rPr>
          <w:i/>
        </w:rPr>
        <w:t>11.2</w:t>
        <w:tab/>
        <w:t>Nationality of arbitrator</w:t>
      </w:r>
    </w:p>
    <w:p>
      <w:pPr>
        <w:pStyle w:val="1LevelPara"/>
        <w:numPr>
          <w:ilvl w:val="0"/>
          <w:numId w:val="0"/>
        </w:numPr>
        <w:spacing w:lineRule="auto" w:line="240"/>
        <w:ind w:hanging="0" w:start="0"/>
        <w:rPr>
          <w:i/>
          <w:i/>
        </w:rPr>
      </w:pPr>
      <w:r>
        <w:rPr>
          <w:i/>
        </w:rPr>
        <w:tab/>
        <w:t>No arbitrator appointed pursuant to Clause 11.1 shall be a national of India or of the United States.</w:t>
      </w:r>
    </w:p>
    <w:p>
      <w:pPr>
        <w:pStyle w:val="1LevelPara"/>
        <w:numPr>
          <w:ilvl w:val="0"/>
          <w:numId w:val="0"/>
        </w:numPr>
        <w:spacing w:lineRule="auto" w:line="240"/>
        <w:ind w:hanging="0" w:start="0"/>
        <w:rPr>
          <w:i/>
          <w:i/>
        </w:rPr>
      </w:pPr>
      <w:r>
        <w:rPr>
          <w:i/>
        </w:rPr>
        <w:t>11.3</w:t>
        <w:tab/>
        <w:t>Language</w:t>
      </w:r>
    </w:p>
    <w:p>
      <w:pPr>
        <w:sectPr>
          <w:headerReference w:type="default" r:id="rId2"/>
          <w:footerReference w:type="default" r:id="rId3"/>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480"/>
        <w:ind w:hanging="0" w:start="0"/>
        <w:rPr/>
      </w:pPr>
      <w:r>
        <w:rPr>
          <w:i/>
        </w:rPr>
        <w:tab/>
        <w:t>The language of any arbitration under this  Clause shall be English.”</w:t>
      </w:r>
      <w:r>
        <w:rPr/>
        <w:t xml:space="preserve"> </w:t>
      </w:r>
      <w:r>
        <w:br w:type="page"/>
      </w:r>
    </w:p>
    <w:p>
      <w:pPr>
        <w:pStyle w:val="Heading10"/>
        <w:jc w:val="center"/>
        <w:rPr>
          <w:u w:val="single"/>
        </w:rPr>
      </w:pPr>
      <w:r>
        <w:rPr>
          <w:u w:val="single"/>
        </w:rPr>
        <w:t>Schedule</w:t>
      </w:r>
    </w:p>
    <w:p>
      <w:pPr>
        <w:pStyle w:val="Heading10"/>
        <w:jc w:val="center"/>
        <w:rPr>
          <w:u w:val="single"/>
        </w:rPr>
      </w:pPr>
      <w:r>
        <w:rPr>
          <w:u w:val="single"/>
        </w:rPr>
      </w:r>
    </w:p>
    <w:tbl>
      <w:tblPr>
        <w:tblW w:w="8520" w:type="dxa"/>
        <w:jc w:val="start"/>
        <w:tblInd w:w="0" w:type="dxa"/>
        <w:tblLayout w:type="fixed"/>
        <w:tblCellMar>
          <w:top w:w="0" w:type="dxa"/>
          <w:start w:w="108" w:type="dxa"/>
          <w:bottom w:w="0" w:type="dxa"/>
          <w:end w:w="108" w:type="dxa"/>
        </w:tblCellMar>
      </w:tblPr>
      <w:tblGrid>
        <w:gridCol w:w="1188"/>
        <w:gridCol w:w="2520"/>
        <w:gridCol w:w="4812"/>
      </w:tblGrid>
      <w:tr>
        <w:trPr>
          <w:tblHeader w:val="true"/>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Date</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Publication</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60" w:after="60"/>
              <w:ind w:hanging="0" w:start="0"/>
              <w:jc w:val="center"/>
              <w:rPr>
                <w:b/>
              </w:rPr>
            </w:pPr>
            <w:r>
              <w:rPr>
                <w:b/>
              </w:rPr>
              <w:t>Article Headline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17.11.00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review Dabhol power project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MSEB to review viability of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cannot solve State’s power problem but can create other problems”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Mid-day</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may scrap Enron’s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Pressure grows on state to scrap Dabhol II, junk PPA”</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renegotiate Enron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to renegotiate power rates with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will ask Enron to lower power tariff”</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Expert moots ways to get out of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reviewing Enron deal”</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14.12.00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should oust Enron: Minister”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Asian Age</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Maharashtra to review Dabhol Phase II”</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20.12.00</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Threat to scrap Enron project real, says CM”</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9.1.01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Retd judge may head review panel on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to make DPC wait it out for dues payment”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3.2.01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Times of India</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MSEB not in a position to buy power from Enron”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6.2.01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rejects move”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Business Standard</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 xml:space="preserve">Central intervention in DPC issue must: Patil”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7.2.01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DPC invokes counter-guarantee for recovering dues from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8.2.01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Deshmukh throws his hands up”</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MPCB to probe DPC’s “violation” of norms”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Indian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Enron: State directs MPCB to probe into pollution complaint”</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12.3.01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Prope DPC emission norms violation”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13.3.01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Sakal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Govt. gives indications of action against Enron for causing pollution”</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17.3.01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Free Press Journal</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Centre asked not to give counter guarantee to DPC”</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21.3.01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Economic Times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Save State from Enron, Vilasrao prays Centre”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center"/>
              <w:rPr/>
            </w:pPr>
            <w:r>
              <w:rPr/>
              <w:t>9.4.01</w:t>
            </w:r>
          </w:p>
        </w:tc>
        <w:tc>
          <w:tcPr>
            <w:tcW w:w="2520"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rPr/>
            </w:pPr>
            <w:r>
              <w:rPr/>
              <w:t>The Financial Express</w:t>
            </w:r>
          </w:p>
        </w:tc>
        <w:tc>
          <w:tcPr>
            <w:tcW w:w="4812" w:type="dxa"/>
            <w:tcBorders>
              <w:top w:val="single" w:sz="4" w:space="0" w:color="000000"/>
              <w:start w:val="single" w:sz="4" w:space="0" w:color="000000"/>
              <w:bottom w:val="single" w:sz="4" w:space="0" w:color="000000"/>
              <w:end w:val="single" w:sz="4" w:space="0" w:color="000000"/>
            </w:tcBorders>
          </w:tcPr>
          <w:p>
            <w:pPr>
              <w:pStyle w:val="1LevelPara"/>
              <w:numPr>
                <w:ilvl w:val="0"/>
                <w:numId w:val="0"/>
              </w:numPr>
              <w:spacing w:lineRule="auto" w:line="240" w:before="0" w:after="240"/>
              <w:ind w:hanging="0" w:start="0"/>
              <w:jc w:val="start"/>
              <w:rPr/>
            </w:pPr>
            <w:r>
              <w:rPr/>
              <w:t>“</w:t>
            </w:r>
            <w:r>
              <w:rPr/>
              <w:t>State asks Centre not to pay DPC’s December bills”</w:t>
            </w:r>
          </w:p>
        </w:tc>
      </w:tr>
    </w:tbl>
    <w:p>
      <w:pPr>
        <w:sectPr>
          <w:headerReference w:type="default" r:id="rId4"/>
          <w:headerReference w:type="first" r:id="rId5"/>
          <w:footerReference w:type="default" r:id="rId6"/>
          <w:footerReference w:type="first" r:id="rId7"/>
          <w:type w:val="nextPage"/>
          <w:pgSz w:w="11906" w:h="16838"/>
          <w:pgMar w:left="1800" w:right="1800" w:gutter="0" w:header="720" w:top="1620" w:footer="576" w:bottom="1530"/>
          <w:pgNumType w:fmt="decimal"/>
          <w:formProt w:val="false"/>
          <w:textDirection w:val="lrTb"/>
          <w:docGrid w:type="default" w:linePitch="360" w:charSpace="0"/>
        </w:sectPr>
        <w:pStyle w:val="1LevelPara"/>
        <w:numPr>
          <w:ilvl w:val="0"/>
          <w:numId w:val="0"/>
        </w:numPr>
        <w:spacing w:lineRule="auto" w:line="240" w:before="0" w:after="240"/>
        <w:ind w:hanging="720" w:start="720" w:end="0"/>
        <w:rPr/>
      </w:pPr>
      <w:r>
        <w:rPr/>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THE ARBITRATION ACT 1996</w:t>
      </w:r>
    </w:p>
    <w:p>
      <w:pPr>
        <w:pStyle w:val="Heading10"/>
        <w:tabs>
          <w:tab w:val="clear" w:pos="720"/>
          <w:tab w:val="center" w:pos="4140" w:leader="none"/>
          <w:tab w:val="right" w:pos="8280" w:leader="none"/>
        </w:tabs>
        <w:spacing w:lineRule="auto" w:line="360" w:before="0" w:after="140"/>
        <w:ind w:start="3600" w:end="0"/>
        <w:rPr>
          <w:u w:val="single"/>
        </w:rPr>
      </w:pPr>
      <w:r>
        <w:rPr>
          <w:u w:val="single"/>
        </w:rPr>
        <w:t>AND</w:t>
      </w:r>
    </w:p>
    <w:p>
      <w:pPr>
        <w:pStyle w:val="Heading10"/>
        <w:tabs>
          <w:tab w:val="clear" w:pos="720"/>
          <w:tab w:val="center" w:pos="4140" w:leader="none"/>
          <w:tab w:val="right" w:pos="8280" w:leader="none"/>
        </w:tabs>
        <w:spacing w:lineRule="auto" w:line="360" w:before="0" w:after="140"/>
        <w:ind w:start="3600" w:end="0"/>
        <w:rPr>
          <w:u w:val="single"/>
        </w:rPr>
      </w:pPr>
      <w:r>
        <w:rPr>
          <w:u w:val="single"/>
        </w:rPr>
        <w:t>IN THE MATTER OF AN ARBITRATION</w:t>
        <w:br/>
        <w:t>(UNDER THE UNCITRAL ARBITRATION RULES)</w:t>
      </w:r>
    </w:p>
    <w:p>
      <w:pPr>
        <w:pStyle w:val="Heading10"/>
        <w:tabs>
          <w:tab w:val="left" w:pos="720" w:leader="none"/>
          <w:tab w:val="left" w:pos="1440" w:leader="none"/>
        </w:tabs>
        <w:spacing w:lineRule="auto" w:line="360"/>
        <w:ind w:start="3600" w:end="0"/>
        <w:jc w:val="center"/>
        <w:rPr>
          <w:u w:val="single"/>
        </w:rPr>
      </w:pPr>
      <w:r>
        <w:rPr>
          <w:u w:val="single"/>
        </w:rPr>
      </w:r>
    </w:p>
    <w:p>
      <w:pPr>
        <w:pStyle w:val="Heading10"/>
        <w:tabs>
          <w:tab w:val="left" w:pos="720" w:leader="none"/>
          <w:tab w:val="left" w:pos="1440" w:leader="none"/>
        </w:tabs>
        <w:spacing w:lineRule="auto" w:line="360"/>
        <w:ind w:start="3600" w:end="0"/>
        <w:rPr/>
      </w:pPr>
      <w:r>
        <w:rPr/>
        <w:t>BETWEEN:-</w:t>
      </w:r>
    </w:p>
    <w:p>
      <w:pPr>
        <w:pStyle w:val="Heading10"/>
        <w:tabs>
          <w:tab w:val="left" w:pos="720" w:leader="none"/>
          <w:tab w:val="left" w:pos="1440" w:leader="none"/>
        </w:tabs>
        <w:spacing w:lineRule="auto" w:line="360"/>
        <w:ind w:start="3600" w:end="0"/>
        <w:jc w:val="center"/>
        <w:rPr/>
      </w:pPr>
      <w:r>
        <w:rPr/>
        <w:t>DABHOL POWER COMPANY</w:t>
      </w:r>
    </w:p>
    <w:p>
      <w:pPr>
        <w:pStyle w:val="Heading10"/>
        <w:tabs>
          <w:tab w:val="left" w:pos="720" w:leader="none"/>
          <w:tab w:val="left" w:pos="1440" w:leader="none"/>
        </w:tabs>
        <w:spacing w:lineRule="auto" w:line="360" w:before="280" w:after="0"/>
        <w:ind w:start="3600" w:end="0"/>
        <w:jc w:val="end"/>
        <w:rPr>
          <w:u w:val="single"/>
        </w:rPr>
      </w:pPr>
      <w:r>
        <w:rPr>
          <w:u w:val="single"/>
        </w:rPr>
        <w:t>Claimant</w:t>
      </w:r>
    </w:p>
    <w:p>
      <w:pPr>
        <w:pStyle w:val="Heading10"/>
        <w:tabs>
          <w:tab w:val="left" w:pos="720" w:leader="none"/>
          <w:tab w:val="left" w:pos="1440" w:leader="none"/>
        </w:tabs>
        <w:spacing w:lineRule="auto" w:line="360"/>
        <w:ind w:start="3600" w:end="0"/>
        <w:jc w:val="center"/>
        <w:rPr/>
      </w:pPr>
      <w:r>
        <w:rPr/>
        <w:t>-and-</w:t>
      </w:r>
    </w:p>
    <w:p>
      <w:pPr>
        <w:pStyle w:val="Heading10"/>
        <w:tabs>
          <w:tab w:val="left" w:pos="720" w:leader="none"/>
          <w:tab w:val="left" w:pos="1440" w:leader="none"/>
        </w:tabs>
        <w:spacing w:lineRule="auto" w:line="360" w:before="280" w:after="0"/>
        <w:ind w:start="3600" w:end="0"/>
        <w:jc w:val="center"/>
        <w:rPr/>
      </w:pPr>
      <w:r>
        <w:rPr/>
        <w:t>THE STATE OF MAHARASHTRA</w:t>
      </w:r>
    </w:p>
    <w:p>
      <w:pPr>
        <w:pStyle w:val="Heading10"/>
        <w:tabs>
          <w:tab w:val="left" w:pos="720" w:leader="none"/>
          <w:tab w:val="left" w:pos="1440" w:leader="none"/>
        </w:tabs>
        <w:spacing w:lineRule="auto" w:line="360" w:before="280" w:after="0"/>
        <w:ind w:start="3600" w:end="0"/>
        <w:jc w:val="end"/>
        <w:rPr>
          <w:u w:val="single"/>
        </w:rPr>
      </w:pPr>
      <w:r>
        <w:rPr>
          <w:u w:val="single"/>
        </w:rPr>
        <w:t>Respondent</w:t>
      </w:r>
    </w:p>
    <w:p>
      <w:pPr>
        <w:pStyle w:val="Normal"/>
        <w:ind w:start="3600" w:end="0"/>
        <w:rPr>
          <w:u w:val="single"/>
        </w:rPr>
      </w:pPr>
      <w:r>
        <w:rPr>
          <w:u w:val="single"/>
        </w:rPr>
      </w:r>
    </w:p>
    <w:p>
      <w:pPr>
        <w:pStyle w:val="Normal"/>
        <w:ind w:start="3600" w:end="0"/>
        <w:rPr/>
      </w:pPr>
      <w:r>
        <w:rPr/>
      </w:r>
    </w:p>
    <w:p>
      <w:pPr>
        <w:pStyle w:val="Normal"/>
        <w:ind w:start="3600" w:end="0"/>
        <w:rPr/>
      </w:pPr>
      <w:r>
        <w:rPr/>
      </w:r>
    </w:p>
    <w:p>
      <w:pPr>
        <w:pStyle w:val="Heading10"/>
        <w:tabs>
          <w:tab w:val="left" w:pos="720" w:leader="none"/>
          <w:tab w:val="left" w:pos="1440" w:leader="none"/>
        </w:tabs>
        <w:spacing w:lineRule="auto" w:line="360"/>
        <w:ind w:start="3600" w:end="0"/>
        <w:jc w:val="center"/>
        <w:rPr>
          <w:b w:val="false"/>
          <w:u w:val="single"/>
        </w:rPr>
      </w:pPr>
      <w:r>
        <w:rPr>
          <w:b w:val="false"/>
          <w:u w:val="single"/>
        </w:rPr>
      </w:r>
    </w:p>
    <w:tbl>
      <w:tblPr>
        <w:tblW w:w="4856" w:type="dxa"/>
        <w:jc w:val="start"/>
        <w:tblInd w:w="4068" w:type="dxa"/>
        <w:tblLayout w:type="fixed"/>
        <w:tblCellMar>
          <w:top w:w="0" w:type="dxa"/>
          <w:start w:w="108" w:type="dxa"/>
          <w:bottom w:w="0" w:type="dxa"/>
          <w:end w:w="108" w:type="dxa"/>
        </w:tblCellMar>
      </w:tblPr>
      <w:tblGrid>
        <w:gridCol w:w="4856"/>
      </w:tblGrid>
      <w:tr>
        <w:trPr/>
        <w:tc>
          <w:tcPr>
            <w:tcW w:w="4856" w:type="dxa"/>
            <w:tcBorders>
              <w:top w:val="single" w:sz="18" w:space="0" w:color="000000"/>
              <w:bottom w:val="single" w:sz="18" w:space="0" w:color="000000"/>
            </w:tcBorders>
          </w:tcPr>
          <w:p>
            <w:pPr>
              <w:pStyle w:val="Heading10"/>
              <w:tabs>
                <w:tab w:val="left" w:pos="720" w:leader="none"/>
                <w:tab w:val="left" w:pos="1440" w:leader="none"/>
              </w:tabs>
              <w:spacing w:before="400" w:after="280"/>
              <w:jc w:val="center"/>
              <w:rPr>
                <w:u w:val="single"/>
              </w:rPr>
            </w:pPr>
            <w:r>
              <w:rPr/>
              <w:t>NOTICE OF ARBITRATION</w:t>
            </w:r>
          </w:p>
        </w:tc>
      </w:tr>
    </w:tbl>
    <w:p>
      <w:pPr>
        <w:pStyle w:val="Heading1"/>
        <w:spacing w:lineRule="auto" w:line="360" w:before="0" w:after="140"/>
        <w:ind w:hanging="0" w:start="3600" w:end="0"/>
        <w:rPr>
          <w:kern w:val="0"/>
          <w:u w:val="single"/>
        </w:rPr>
      </w:pPr>
      <w:r>
        <w:rPr>
          <w:kern w:val="0"/>
          <w:u w:val="single"/>
        </w:rPr>
      </w:r>
    </w:p>
    <w:p>
      <w:pPr>
        <w:pStyle w:val="Normal"/>
        <w:ind w:start="3600" w:end="0"/>
        <w:rPr>
          <w:kern w:val="0"/>
          <w:u w:val="single"/>
        </w:rPr>
      </w:pPr>
      <w:r>
        <w:rPr>
          <w:kern w:val="0"/>
          <w:u w:val="single"/>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pPr>
      <w:r>
        <w:rPr/>
      </w:r>
    </w:p>
    <w:p>
      <w:pPr>
        <w:pStyle w:val="Normal"/>
        <w:rPr/>
      </w:pPr>
      <w:r>
        <w:rPr/>
      </w:r>
    </w:p>
    <w:p>
      <w:pPr>
        <w:pStyle w:val="Normal"/>
        <w:rPr/>
      </w:pPr>
      <w:r>
        <w:rPr/>
      </w:r>
    </w:p>
    <w:p>
      <w:pPr>
        <w:pStyle w:val="Normal"/>
        <w:spacing w:lineRule="auto" w:line="240"/>
        <w:ind w:start="5040" w:end="0"/>
        <w:rPr>
          <w:rFonts w:ascii="Times" w:hAnsi="Times" w:cs="Times"/>
          <w:sz w:val="22"/>
        </w:rPr>
      </w:pPr>
      <w:r>
        <w:rPr>
          <w:rFonts w:cs="Times" w:ascii="Times" w:hAnsi="Times"/>
          <w:sz w:val="22"/>
        </w:rPr>
        <w:t>Messrs. Linklaters.</w:t>
      </w:r>
    </w:p>
    <w:p>
      <w:pPr>
        <w:pStyle w:val="Normal"/>
        <w:spacing w:lineRule="auto" w:line="240"/>
        <w:ind w:start="5040" w:end="0"/>
        <w:rPr>
          <w:rFonts w:ascii="Times" w:hAnsi="Times" w:cs="Times"/>
          <w:sz w:val="22"/>
        </w:rPr>
      </w:pPr>
      <w:r>
        <w:rPr>
          <w:rFonts w:cs="Times" w:ascii="Times" w:hAnsi="Times"/>
          <w:sz w:val="22"/>
        </w:rPr>
        <w:t>Alexandra House (10th floor),</w:t>
      </w:r>
    </w:p>
    <w:p>
      <w:pPr>
        <w:pStyle w:val="Normal"/>
        <w:spacing w:lineRule="auto" w:line="240"/>
        <w:ind w:start="5040" w:end="0"/>
        <w:rPr>
          <w:rFonts w:ascii="Times" w:hAnsi="Times" w:cs="Times"/>
          <w:sz w:val="22"/>
        </w:rPr>
      </w:pPr>
      <w:r>
        <w:rPr>
          <w:rFonts w:cs="Times" w:ascii="Times" w:hAnsi="Times"/>
          <w:sz w:val="22"/>
        </w:rPr>
        <w:t>16-20 Chater Road,</w:t>
      </w:r>
    </w:p>
    <w:p>
      <w:pPr>
        <w:pStyle w:val="Normal"/>
        <w:spacing w:lineRule="auto" w:line="240"/>
        <w:ind w:start="5040" w:end="0"/>
        <w:rPr>
          <w:rFonts w:ascii="Times" w:hAnsi="Times" w:cs="Times"/>
          <w:sz w:val="22"/>
        </w:rPr>
      </w:pPr>
      <w:r>
        <w:rPr>
          <w:rFonts w:cs="Times" w:ascii="Times" w:hAnsi="Times"/>
          <w:sz w:val="22"/>
        </w:rPr>
        <w:t>Central,</w:t>
      </w:r>
    </w:p>
    <w:p>
      <w:pPr>
        <w:pStyle w:val="Normal"/>
        <w:spacing w:lineRule="auto" w:line="240"/>
        <w:ind w:start="5040" w:end="0"/>
        <w:rPr>
          <w:rFonts w:ascii="Times" w:hAnsi="Times" w:cs="Times"/>
          <w:sz w:val="22"/>
        </w:rPr>
      </w:pPr>
      <w:r>
        <w:rPr>
          <w:rFonts w:cs="Times" w:ascii="Times" w:hAnsi="Times"/>
          <w:sz w:val="22"/>
        </w:rPr>
        <w:t>Hong Kong.</w:t>
      </w:r>
    </w:p>
    <w:p>
      <w:pPr>
        <w:pStyle w:val="Normal"/>
        <w:spacing w:lineRule="auto" w:line="240"/>
        <w:ind w:start="5040" w:end="0"/>
        <w:rPr>
          <w:rFonts w:ascii="Times" w:hAnsi="Times" w:cs="Times"/>
          <w:sz w:val="22"/>
        </w:rPr>
      </w:pPr>
      <w:r>
        <w:rPr>
          <w:rFonts w:cs="Times" w:ascii="Times" w:hAnsi="Times"/>
          <w:sz w:val="22"/>
        </w:rPr>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Ref:</w:t>
        <w:tab/>
        <w:t>CXW</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Tel:</w:t>
        <w:tab/>
        <w:t>+852 2842 4888</w:t>
      </w:r>
    </w:p>
    <w:p>
      <w:pPr>
        <w:pStyle w:val="Normal"/>
        <w:tabs>
          <w:tab w:val="clear" w:pos="720"/>
          <w:tab w:val="left" w:pos="5760" w:leader="none"/>
        </w:tabs>
        <w:spacing w:lineRule="auto" w:line="240" w:before="0" w:after="60"/>
        <w:ind w:start="5040" w:end="0"/>
        <w:rPr>
          <w:rFonts w:ascii="Times" w:hAnsi="Times" w:cs="Times"/>
          <w:sz w:val="22"/>
        </w:rPr>
      </w:pPr>
      <w:r>
        <w:rPr>
          <w:rFonts w:cs="Times" w:ascii="Times" w:hAnsi="Times"/>
          <w:sz w:val="22"/>
        </w:rPr>
        <w:t>Fax:</w:t>
        <w:tab/>
        <w:t>+852 2810 8133</w:t>
      </w:r>
    </w:p>
    <w:p>
      <w:pPr>
        <w:pStyle w:val="Normal"/>
        <w:tabs>
          <w:tab w:val="clear" w:pos="720"/>
          <w:tab w:val="left" w:pos="5760" w:leader="none"/>
        </w:tabs>
        <w:spacing w:lineRule="auto" w:line="240" w:before="0" w:after="60"/>
        <w:ind w:start="5040" w:end="0"/>
        <w:rPr>
          <w:rFonts w:ascii="Times" w:hAnsi="Times" w:cs="Times"/>
          <w:b/>
          <w:sz w:val="22"/>
        </w:rPr>
      </w:pPr>
      <w:r>
        <w:rPr>
          <w:rFonts w:cs="Times" w:ascii="Times" w:hAnsi="Times"/>
          <w:sz w:val="22"/>
        </w:rPr>
        <w:t>E-mail:</w:t>
        <w:tab/>
        <w:t>christopher.walker@linklaters.com</w:t>
      </w:r>
    </w:p>
    <w:p>
      <w:pPr>
        <w:pStyle w:val="Normal"/>
        <w:spacing w:lineRule="auto" w:line="240"/>
        <w:ind w:start="5040" w:end="0"/>
        <w:rPr>
          <w:rFonts w:ascii="Times" w:hAnsi="Times" w:cs="Times"/>
          <w:sz w:val="22"/>
          <w:u w:val="single"/>
        </w:rPr>
      </w:pPr>
      <w:r>
        <w:rPr>
          <w:rFonts w:cs="Times" w:ascii="Times" w:hAnsi="Times"/>
          <w:sz w:val="22"/>
          <w:u w:val="single"/>
        </w:rPr>
        <w:t>Solicitors for the Claimant</w:t>
      </w:r>
    </w:p>
    <w:sectPr>
      <w:headerReference w:type="default" r:id="rId8"/>
      <w:headerReference w:type="first" r:id="rId9"/>
      <w:footerReference w:type="default" r:id="rId10"/>
      <w:footerReference w:type="first" r:id="rId11"/>
      <w:type w:val="nextPage"/>
      <w:pgSz w:w="11906" w:h="16838"/>
      <w:pgMar w:left="1800" w:right="1152" w:gutter="0" w:header="763" w:top="1440" w:footer="475" w:bottom="131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Baskerville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18</w:t>
    </w:r>
    <w:r>
      <w:rPr>
        <w:rStyle w:val="PageNumber"/>
        <w:sz w:val="22"/>
        <w:rFonts w:cs="Times" w:ascii="Times" w:hAnsi="Times"/>
      </w:rPr>
      <w:fldChar w:fldCharType="end"/>
    </w:r>
    <w:r>
      <w:rPr>
        <w:rStyle w:val="PageNumber"/>
        <w:rFonts w:cs="Times" w:ascii="Times" w:hAnsi="Times"/>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Footer"/>
      <w:pBdr>
        <w:top w:val="nil"/>
      </w:pBdr>
      <w:jc w:val="center"/>
      <w:rPr/>
    </w:pPr>
    <w:r>
      <w:rPr>
        <w:rStyle w:val="PageNumber"/>
        <w:rFonts w:cs="Times" w:ascii="Times" w:hAnsi="Times"/>
        <w:sz w:val="22"/>
      </w:rPr>
      <w:t xml:space="preserve">- </w:t>
    </w:r>
    <w:r>
      <w:rPr>
        <w:rStyle w:val="PageNumber"/>
        <w:rFonts w:cs="Times" w:ascii="Times" w:hAnsi="Times"/>
        <w:sz w:val="22"/>
      </w:rPr>
      <w:fldChar w:fldCharType="begin"/>
    </w:r>
    <w:r>
      <w:rPr>
        <w:rStyle w:val="PageNumber"/>
        <w:sz w:val="22"/>
        <w:rFonts w:cs="Times" w:ascii="Times" w:hAnsi="Times"/>
      </w:rPr>
      <w:instrText xml:space="preserve"> PAGE </w:instrText>
    </w:r>
    <w:r>
      <w:rPr>
        <w:rStyle w:val="PageNumber"/>
        <w:sz w:val="22"/>
        <w:rFonts w:cs="Times" w:ascii="Times" w:hAnsi="Times"/>
      </w:rPr>
      <w:fldChar w:fldCharType="separate"/>
    </w:r>
    <w:r>
      <w:rPr>
        <w:rStyle w:val="PageNumber"/>
        <w:sz w:val="22"/>
        <w:rFonts w:cs="Times" w:ascii="Times" w:hAnsi="Times"/>
      </w:rPr>
      <w:t>20</w:t>
    </w:r>
    <w:r>
      <w:rPr>
        <w:rStyle w:val="PageNumber"/>
        <w:sz w:val="22"/>
        <w:rFonts w:cs="Times" w:ascii="Times" w:hAnsi="Times"/>
      </w:rPr>
      <w:fldChar w:fldCharType="end"/>
    </w:r>
    <w:r>
      <w:rPr>
        <w:rStyle w:val="PageNumber"/>
        <w:rFonts w:cs="Times" w:ascii="Times" w:hAnsi="Times"/>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w:hAnsi="Times" w:cs="Times"/>
        <w:sz w:val="18"/>
      </w:rPr>
    </w:pPr>
    <w:r>
      <w:rPr>
        <w:rFonts w:cs="Times" w:ascii="Times" w:hAnsi="Times"/>
        <w:sz w:val="18"/>
      </w:rPr>
      <w:fldChar w:fldCharType="begin"/>
    </w:r>
    <w:r>
      <w:rPr>
        <w:sz w:val="18"/>
        <w:rFonts w:cs="Times" w:ascii="Times" w:hAnsi="Times"/>
      </w:rPr>
      <w:instrText xml:space="preserve"> DOCPROPERTY "Document Number"</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"Version"</w:instrText>
    </w:r>
    <w:r>
      <w:rPr>
        <w:sz w:val="18"/>
        <w:rFonts w:cs="Times" w:ascii="Times" w:hAnsi="Times"/>
      </w:rPr>
      <w:fldChar w:fldCharType="separate"/>
    </w:r>
    <w:r>
      <w:rPr>
        <w:sz w:val="18"/>
        <w:rFonts w:cs="Times" w:ascii="Times" w:hAnsi="Times"/>
      </w:rPr>
    </w:r>
    <w:r>
      <w:rPr>
        <w:sz w:val="18"/>
        <w:rFonts w:cs="Times" w:ascii="Times" w:hAnsi="Times"/>
      </w:rPr>
      <w:fldChar w:fldCharType="end"/>
    </w:r>
    <w:r>
      <w:rPr>
        <w:rFonts w:cs="Times" w:ascii="Times" w:hAnsi="Times"/>
        <w:sz w:val="18"/>
      </w:rPr>
      <w:t>/</w:t>
    </w:r>
    <w:r>
      <w:rPr>
        <w:rFonts w:cs="Times" w:ascii="Times" w:hAnsi="Times"/>
        <w:sz w:val="18"/>
      </w:rPr>
      <w:fldChar w:fldCharType="begin"/>
    </w:r>
    <w:r>
      <w:rPr>
        <w:sz w:val="18"/>
        <w:rFonts w:cs="Times" w:ascii="Times" w:hAnsi="Times"/>
      </w:rPr>
      <w:instrText xml:space="preserve"> DOCPROPERTY "Last Modified"</w:instrText>
    </w:r>
    <w:r>
      <w:rPr>
        <w:sz w:val="18"/>
        <w:rFonts w:cs="Times" w:ascii="Times" w:hAnsi="Times"/>
      </w:rPr>
      <w:fldChar w:fldCharType="separate"/>
    </w:r>
    <w:r>
      <w:rPr>
        <w:sz w:val="18"/>
        <w:rFonts w:cs="Times" w:ascii="Times" w:hAnsi="Times"/>
      </w:rPr>
    </w:r>
    <w:r>
      <w:rPr>
        <w:sz w:val="18"/>
        <w:rFonts w:cs="Times" w:ascii="Times" w:hAnsi="Times"/>
      </w:rPr>
      <w:fldChar w:fldCharType="end"/>
    </w:r>
  </w:p>
  <w:p>
    <w:pPr>
      <w:pStyle w:val="Normal"/>
      <w:jc w:val="center"/>
      <w:rPr>
        <w:rFonts w:ascii="Times" w:hAnsi="Times" w:cs="Times"/>
        <w:sz w:val="18"/>
      </w:rPr>
    </w:pPr>
    <w:r>
      <w:rPr>
        <w:rFonts w:cs="Times" w:ascii="Times" w:hAnsi="Times"/>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upperLetter"/>
      <w:lvlText w:val="(%1)"/>
      <w:lvlJc w:val="start"/>
      <w:pPr>
        <w:tabs>
          <w:tab w:val="num" w:pos="0"/>
        </w:tabs>
        <w:ind w:start="0" w:hanging="720"/>
      </w:pPr>
      <w:rPr>
        <w:sz w:val="22"/>
        <w:i w:val="false"/>
        <w:b/>
        <w:rFonts w:ascii="Times" w:hAnsi="Times" w:cs="Times"/>
      </w:rPr>
    </w:lvl>
  </w:abstractNum>
  <w:abstractNum w:abstractNumId="4">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ind w:start="32767" w:hanging="0"/>
      </w:pPr>
    </w:lvl>
    <w:lvl w:ilvl="7">
      <w:start w:val="1"/>
      <w:numFmt w:val="none"/>
      <w:suff w:val="nothing"/>
      <w:lvlText w:val=""/>
      <w:lvlJc w:val="start"/>
      <w:pPr>
        <w:ind w:start="32767" w:hanging="0"/>
      </w:pPr>
    </w:lvl>
    <w:lvl w:ilvl="8">
      <w:start w:val="1"/>
      <w:numFmt w:val="none"/>
      <w:suff w:val="nothing"/>
      <w:lvlText w:val=""/>
      <w:lvlJc w:val="start"/>
      <w:pPr>
        <w:ind w:start="32767" w:hanging="0"/>
      </w:pPr>
    </w:lvl>
  </w:abstractNum>
  <w:abstractNum w:abstractNumId="5">
    <w:lvl w:ilvl="0">
      <w:start w:val="1"/>
      <w:numFmt w:val="lowerLetter"/>
      <w:lvlText w:val="(%1)"/>
      <w:lvlJc w:val="start"/>
      <w:pPr>
        <w:tabs>
          <w:tab w:val="num" w:pos="2722"/>
        </w:tabs>
        <w:ind w:start="2722" w:hanging="681"/>
      </w:pPr>
      <w:rPr>
        <w:sz w:val="20"/>
        <w:i w:val="false"/>
        <w:b w:val="false"/>
        <w:rFonts w:ascii="Arial" w:hAnsi="Arial" w:cs="Arial"/>
      </w:rPr>
    </w:lvl>
  </w:abstractNum>
  <w:abstractNum w:abstractNumId="6">
    <w:lvl w:ilvl="0">
      <w:start w:val="1"/>
      <w:numFmt w:val="bullet"/>
      <w:lvlText w:val=""/>
      <w:lvlJc w:val="start"/>
      <w:pPr>
        <w:tabs>
          <w:tab w:val="num" w:pos="3969"/>
        </w:tabs>
        <w:ind w:start="3969" w:hanging="680"/>
      </w:pPr>
      <w:rPr>
        <w:rFonts w:ascii="Symbol" w:hAnsi="Symbol" w:cs="Symbol" w:hint="default"/>
      </w:rPr>
    </w:lvl>
  </w:abstractNum>
  <w:abstractNum w:abstractNumId="7">
    <w:lvl w:ilvl="0">
      <w:start w:val="1"/>
      <w:numFmt w:val="bullet"/>
      <w:lvlText w:val=""/>
      <w:lvlJc w:val="start"/>
      <w:pPr>
        <w:tabs>
          <w:tab w:val="num" w:pos="567"/>
        </w:tabs>
        <w:ind w:start="567" w:hanging="567"/>
      </w:pPr>
      <w:rPr>
        <w:rFonts w:ascii="Symbol" w:hAnsi="Symbol" w:cs="Symbol" w:hint="default"/>
      </w:rPr>
    </w:lvl>
  </w:abstractNum>
  <w:abstractNum w:abstractNumId="8">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9">
    <w:lvl w:ilvl="0">
      <w:start w:val="1"/>
      <w:numFmt w:val="bullet"/>
      <w:lvlText w:val=""/>
      <w:lvlJc w:val="start"/>
      <w:pPr>
        <w:tabs>
          <w:tab w:val="num" w:pos="2722"/>
        </w:tabs>
        <w:ind w:start="2722" w:hanging="681"/>
      </w:pPr>
      <w:rPr>
        <w:rFonts w:ascii="Symbol" w:hAnsi="Symbol" w:cs="Symbol" w:hint="default"/>
      </w:rPr>
    </w:lvl>
  </w:abstractNum>
  <w:abstractNum w:abstractNumId="10">
    <w:lvl w:ilvl="0">
      <w:start w:val="1"/>
      <w:numFmt w:val="lowerLetter"/>
      <w:lvlText w:val="(%1)"/>
      <w:lvlJc w:val="start"/>
      <w:pPr>
        <w:tabs>
          <w:tab w:val="num" w:pos="2041"/>
        </w:tabs>
        <w:ind w:start="2041" w:hanging="794"/>
      </w:pPr>
      <w:rPr>
        <w:sz w:val="20"/>
        <w:i w:val="false"/>
        <w:b w:val="false"/>
        <w:rFonts w:ascii="Arial" w:hAnsi="Arial" w:cs="Arial"/>
      </w:rPr>
    </w:lvl>
  </w:abstractNum>
  <w:abstractNum w:abstractNumId="11">
    <w:lvl w:ilvl="0">
      <w:start w:val="1"/>
      <w:numFmt w:val="bullet"/>
      <w:lvlText w:val=""/>
      <w:lvlJc w:val="start"/>
      <w:pPr>
        <w:tabs>
          <w:tab w:val="num" w:pos="2041"/>
        </w:tabs>
        <w:ind w:start="2041" w:hanging="794"/>
      </w:pPr>
      <w:rPr>
        <w:rFonts w:ascii="Symbol" w:hAnsi="Symbol" w:cs="Symbol" w:hint="default"/>
      </w:rPr>
    </w:lvl>
  </w:abstractNum>
  <w:abstractNum w:abstractNumId="12">
    <w:lvl w:ilvl="0">
      <w:start w:val="1"/>
      <w:numFmt w:val="lowerLetter"/>
      <w:lvlText w:val="(%1)"/>
      <w:lvlJc w:val="start"/>
      <w:pPr>
        <w:tabs>
          <w:tab w:val="num" w:pos="3969"/>
        </w:tabs>
        <w:ind w:start="3969" w:hanging="680"/>
      </w:pPr>
      <w:rPr>
        <w:sz w:val="20"/>
        <w:i w:val="false"/>
        <w:b w:val="false"/>
        <w:rFonts w:ascii="Arial" w:hAnsi="Arial" w:cs="Arial"/>
      </w:rPr>
    </w:lvl>
  </w:abstractNum>
  <w:abstractNum w:abstractNumId="13">
    <w:lvl w:ilvl="0">
      <w:start w:val="1"/>
      <w:numFmt w:val="decimal"/>
      <w:lvlText w:val="%1"/>
      <w:lvlJc w:val="start"/>
      <w:pPr>
        <w:tabs>
          <w:tab w:val="num" w:pos="567"/>
        </w:tabs>
        <w:ind w:start="567" w:hanging="567"/>
      </w:pPr>
      <w:rPr>
        <w:sz w:val="22"/>
        <w:i w:val="false"/>
        <w:b/>
        <w:rFonts w:ascii="Arial" w:hAnsi="Arial" w:cs="Arial"/>
      </w:rPr>
    </w:lvl>
    <w:lvl w:ilvl="1">
      <w:start w:val="1"/>
      <w:numFmt w:val="lowerLetter"/>
      <w:lvlText w:val="(%2)"/>
      <w:lvlJc w:val="start"/>
      <w:pPr>
        <w:tabs>
          <w:tab w:val="num" w:pos="1247"/>
        </w:tabs>
        <w:ind w:start="1247" w:hanging="680"/>
      </w:pPr>
      <w:rPr>
        <w:sz w:val="20"/>
        <w:i w:val="false"/>
        <w:b w:val="false"/>
        <w:rFonts w:ascii="Arial" w:hAnsi="Arial" w:cs="Arial"/>
      </w:rPr>
    </w:lvl>
    <w:lvl w:ilvl="2">
      <w:start w:val="1"/>
      <w:numFmt w:val="lowerRoman"/>
      <w:lvlText w:val="(%3)"/>
      <w:lvlJc w:val="start"/>
      <w:pPr>
        <w:tabs>
          <w:tab w:val="num" w:pos="2041"/>
        </w:tabs>
        <w:ind w:start="2041" w:hanging="794"/>
      </w:pPr>
      <w:rPr>
        <w:sz w:val="20"/>
        <w:i w:val="false"/>
        <w:b w:val="false"/>
        <w:rFonts w:ascii="Arial" w:hAnsi="Arial" w:cs="Arial"/>
      </w:rPr>
    </w:lvl>
    <w:lvl w:ilvl="3">
      <w:start w:val="1"/>
      <w:numFmt w:val="upperLetter"/>
      <w:lvlText w:val="(%4)"/>
      <w:lvlJc w:val="start"/>
      <w:pPr>
        <w:tabs>
          <w:tab w:val="num" w:pos="2722"/>
        </w:tabs>
        <w:ind w:start="2722" w:hanging="681"/>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14">
    <w:lvl w:ilvl="0">
      <w:start w:val="1"/>
      <w:numFmt w:val="bullet"/>
      <w:lvlText w:val=""/>
      <w:lvlJc w:val="start"/>
      <w:pPr>
        <w:tabs>
          <w:tab w:val="num" w:pos="3289"/>
        </w:tabs>
        <w:ind w:start="3289" w:hanging="567"/>
      </w:pPr>
      <w:rPr>
        <w:rFonts w:ascii="Symbol" w:hAnsi="Symbol" w:cs="Symbol" w:hint="default"/>
      </w:rPr>
    </w:lvl>
  </w:abstractNum>
  <w:abstractNum w:abstractNumId="15">
    <w:lvl w:ilvl="0">
      <w:start w:val="1"/>
      <w:numFmt w:val="lowerLetter"/>
      <w:lvlText w:val="(%1)"/>
      <w:lvlJc w:val="start"/>
      <w:pPr>
        <w:tabs>
          <w:tab w:val="num" w:pos="3289"/>
        </w:tabs>
        <w:ind w:start="3289" w:hanging="567"/>
      </w:pPr>
      <w:rPr>
        <w:sz w:val="20"/>
        <w:i w:val="false"/>
        <w:b w:val="false"/>
        <w:rFonts w:ascii="Arial" w:hAnsi="Arial" w:cs="Arial"/>
      </w:rPr>
    </w:lvl>
  </w:abstractNum>
  <w:abstractNum w:abstractNumId="16">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7">
    <w:lvl w:ilvl="0">
      <w:start w:val="1"/>
      <w:numFmt w:val="bullet"/>
      <w:lvlText w:val=""/>
      <w:lvlJc w:val="start"/>
      <w:pPr>
        <w:tabs>
          <w:tab w:val="num" w:pos="1418"/>
        </w:tabs>
        <w:ind w:start="1418" w:hanging="567"/>
      </w:pPr>
      <w:rPr>
        <w:rFonts w:ascii="Symbol" w:hAnsi="Symbol" w:cs="Symbol" w:hint="default"/>
      </w:rPr>
    </w:lvl>
  </w:abstractNum>
  <w:abstractNum w:abstractNumId="18">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upperRoman"/>
      <w:lvlText w:val="(%4)"/>
      <w:lvlJc w:val="start"/>
      <w:pPr>
        <w:tabs>
          <w:tab w:val="num" w:pos="2880"/>
        </w:tabs>
        <w:ind w:start="2880" w:hanging="720"/>
      </w:pPr>
    </w:lvl>
    <w:lvl w:ilvl="4">
      <w:start w:val="1"/>
      <w:numFmt w:val="decimal"/>
      <w:lvlText w:val="(%5)"/>
      <w:lvlJc w:val="start"/>
      <w:pPr>
        <w:tabs>
          <w:tab w:val="num" w:pos="3600"/>
        </w:tabs>
        <w:ind w:start="3600" w:hanging="720"/>
      </w:pPr>
    </w:lvl>
    <w:lvl w:ilvl="5">
      <w:start w:val="1"/>
      <w:numFmt w:val="upperLetter"/>
      <w:lvlText w:val="(%6)"/>
      <w:lvlJc w:val="start"/>
      <w:pPr>
        <w:tabs>
          <w:tab w:val="num" w:pos="4320"/>
        </w:tabs>
        <w:ind w:start="4320" w:hanging="720"/>
      </w:pPr>
    </w:lvl>
    <w:lvl w:ilvl="6">
      <w:start w:val="1"/>
      <w:numFmt w:val="lowerRoman"/>
      <w:lvlText w:val="(%7)"/>
      <w:lvlJc w:val="start"/>
      <w:pPr>
        <w:tabs>
          <w:tab w:val="num" w:pos="5040"/>
        </w:tabs>
        <w:ind w:start="5040" w:hanging="72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lowerRoman"/>
      <w:lvlText w:val="(%1)"/>
      <w:lvlJc w:val="start"/>
      <w:pPr>
        <w:tabs>
          <w:tab w:val="num" w:pos="2722"/>
        </w:tabs>
        <w:ind w:start="2722" w:hanging="681"/>
      </w:pPr>
      <w:rPr>
        <w:sz w:val="20"/>
        <w:i w:val="false"/>
        <w:b w:val="false"/>
        <w:rFonts w:ascii="Arial" w:hAnsi="Arial" w:cs="Arial"/>
      </w:rPr>
    </w:lvl>
  </w:abstractNum>
  <w:abstractNum w:abstractNumId="20">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1">
    <w:lvl w:ilvl="0">
      <w:start w:val="1"/>
      <w:numFmt w:val="decimal"/>
      <w:lvlText w:val="%1"/>
      <w:lvlJc w:val="start"/>
      <w:pPr>
        <w:tabs>
          <w:tab w:val="num" w:pos="567"/>
        </w:tabs>
        <w:ind w:start="567" w:hanging="567"/>
      </w:pPr>
      <w:rPr>
        <w:sz w:val="22"/>
        <w:i w:val="false"/>
        <w:b/>
        <w:rFonts w:ascii="Arial" w:hAnsi="Arial" w:cs="Arial"/>
      </w:rPr>
    </w:lvl>
    <w:lvl w:ilvl="1">
      <w:start w:val="1"/>
      <w:numFmt w:val="decimal"/>
      <w:lvlText w:val="%1.%2"/>
      <w:lvlJc w:val="start"/>
      <w:pPr>
        <w:tabs>
          <w:tab w:val="num" w:pos="1247"/>
        </w:tabs>
        <w:ind w:start="1247" w:hanging="680"/>
      </w:pPr>
      <w:rPr>
        <w:sz w:val="21"/>
        <w:i w:val="false"/>
        <w:b/>
        <w:rFonts w:ascii="Arial" w:hAnsi="Arial" w:cs="Arial"/>
      </w:rPr>
    </w:lvl>
    <w:lvl w:ilvl="2">
      <w:start w:val="1"/>
      <w:numFmt w:val="decimal"/>
      <w:lvlText w:val="%1.%2.%3"/>
      <w:lvlJc w:val="start"/>
      <w:pPr>
        <w:tabs>
          <w:tab w:val="num" w:pos="2041"/>
        </w:tabs>
        <w:ind w:start="2041" w:hanging="794"/>
      </w:pPr>
      <w:rPr>
        <w:sz w:val="17"/>
        <w:i w:val="false"/>
        <w:b/>
        <w:rFonts w:ascii="Arial" w:hAnsi="Arial" w:cs="Arial"/>
      </w:rPr>
    </w:lvl>
    <w:lvl w:ilvl="3">
      <w:start w:val="1"/>
      <w:numFmt w:val="lowerRoman"/>
      <w:lvlText w:val="(%4)"/>
      <w:lvlJc w:val="start"/>
      <w:pPr>
        <w:tabs>
          <w:tab w:val="num" w:pos="2722"/>
        </w:tabs>
        <w:ind w:start="2722" w:hanging="681"/>
      </w:pPr>
      <w:rPr>
        <w:sz w:val="20"/>
        <w:i w:val="false"/>
        <w:b w:val="false"/>
        <w:rFonts w:ascii="Arial" w:hAnsi="Arial" w:cs="Arial"/>
      </w:rPr>
    </w:lvl>
    <w:lvl w:ilvl="4">
      <w:start w:val="1"/>
      <w:numFmt w:val="lowerLetter"/>
      <w:lvlText w:val="(%5)"/>
      <w:lvlJc w:val="start"/>
      <w:pPr>
        <w:tabs>
          <w:tab w:val="num" w:pos="3289"/>
        </w:tabs>
        <w:ind w:start="3289" w:hanging="567"/>
      </w:pPr>
      <w:rPr>
        <w:sz w:val="20"/>
        <w:i w:val="false"/>
        <w:b w:val="false"/>
        <w:rFonts w:ascii="Arial" w:hAnsi="Arial" w:cs="Arial"/>
      </w:rPr>
    </w:lvl>
    <w:lvl w:ilvl="5">
      <w:start w:val="1"/>
      <w:numFmt w:val="upperRoman"/>
      <w:lvlText w:val="(%6)"/>
      <w:lvlJc w:val="start"/>
      <w:pPr>
        <w:tabs>
          <w:tab w:val="num" w:pos="3969"/>
        </w:tabs>
        <w:ind w:start="3969" w:hanging="680"/>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2">
    <w:lvl w:ilvl="0">
      <w:start w:val="1"/>
      <w:numFmt w:val="bullet"/>
      <w:lvlText w:val=""/>
      <w:lvlJc w:val="start"/>
      <w:pPr>
        <w:tabs>
          <w:tab w:val="num" w:pos="1247"/>
        </w:tabs>
        <w:ind w:start="1247" w:hanging="680"/>
      </w:pPr>
      <w:rPr>
        <w:rFonts w:ascii="Symbol" w:hAnsi="Symbol" w:cs="Symbol" w:hint="default"/>
      </w:rPr>
    </w:lvl>
  </w:abstractNum>
  <w:abstractNum w:abstractNumId="23">
    <w:lvl w:ilvl="0">
      <w:start w:val="1"/>
      <w:numFmt w:val="lowerRoman"/>
      <w:lvlText w:val="(%1)"/>
      <w:lvlJc w:val="start"/>
      <w:pPr>
        <w:tabs>
          <w:tab w:val="num" w:pos="2041"/>
        </w:tabs>
        <w:ind w:start="2041" w:hanging="794"/>
      </w:pPr>
      <w:rPr>
        <w:sz w:val="20"/>
        <w:i w:val="false"/>
        <w:b w:val="false"/>
        <w:rFonts w:ascii="Arial" w:hAnsi="Arial" w:cs="Arial"/>
      </w:rPr>
    </w:lvl>
  </w:abstractNum>
  <w:abstractNum w:abstractNumId="24">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25">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26">
    <w:lvl w:ilvl="0">
      <w:start w:val="1"/>
      <w:numFmt w:val="decimal"/>
      <w:lvlText w:val="(%1)"/>
      <w:lvlJc w:val="start"/>
      <w:pPr>
        <w:tabs>
          <w:tab w:val="num" w:pos="567"/>
        </w:tabs>
        <w:ind w:start="567" w:hanging="567"/>
      </w:pPr>
      <w:rPr>
        <w:sz w:val="20"/>
        <w:i w:val="false"/>
        <w:b/>
        <w:rFonts w:ascii="Arial" w:hAnsi="Arial" w:cs="Arial"/>
      </w:rPr>
    </w:lvl>
  </w:abstractNum>
  <w:abstractNum w:abstractNumId="27">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8">
    <w:lvl w:ilvl="0">
      <w:start w:val="1"/>
      <w:numFmt w:val="lowerLetter"/>
      <w:lvlText w:val="(%1)"/>
      <w:lvlJc w:val="start"/>
      <w:pPr>
        <w:tabs>
          <w:tab w:val="num" w:pos="1247"/>
        </w:tabs>
        <w:ind w:start="1247" w:hanging="680"/>
      </w:pPr>
      <w:rPr>
        <w:sz w:val="20"/>
        <w:i w:val="false"/>
        <w:b w:val="false"/>
        <w:rFonts w:ascii="Arial" w:hAnsi="Arial" w:cs="Arial"/>
      </w:rPr>
    </w:lvl>
  </w:abstractNum>
  <w:abstractNum w:abstractNumId="29">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30">
    <w:lvl w:ilvl="0">
      <w:start w:val="1"/>
      <w:numFmt w:val="lowerRoman"/>
      <w:lvlText w:val="(%1)"/>
      <w:lvlJc w:val="start"/>
      <w:pPr>
        <w:tabs>
          <w:tab w:val="num" w:pos="1247"/>
        </w:tabs>
        <w:ind w:start="1247"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bidi="ar-SA" w:eastAsia="zh-CN"/>
    </w:rPr>
  </w:style>
  <w:style w:type="paragraph" w:styleId="Heading1">
    <w:name w:val="heading 1"/>
    <w:basedOn w:val="Normal"/>
    <w:next w:val="Normal"/>
    <w:qFormat/>
    <w:pPr>
      <w:numPr>
        <w:ilvl w:val="0"/>
        <w:numId w:val="1"/>
      </w:numPr>
      <w:spacing w:lineRule="auto" w:line="240"/>
      <w:outlineLvl w:val="0"/>
    </w:pPr>
    <w:rPr>
      <w:kern w:val="2"/>
      <w:lang w:val="en-GB"/>
    </w:rPr>
  </w:style>
  <w:style w:type="paragraph" w:styleId="Heading2">
    <w:name w:val="heading 2"/>
    <w:basedOn w:val="Normal"/>
    <w:next w:val="Normal"/>
    <w:qFormat/>
    <w:pPr>
      <w:numPr>
        <w:ilvl w:val="1"/>
        <w:numId w:val="1"/>
      </w:numPr>
      <w:spacing w:lineRule="auto" w:line="240"/>
      <w:outlineLvl w:val="1"/>
    </w:pPr>
    <w:rPr>
      <w:kern w:val="2"/>
      <w:lang w:val="en-GB"/>
    </w:rPr>
  </w:style>
  <w:style w:type="paragraph" w:styleId="Heading3">
    <w:name w:val="heading 3"/>
    <w:basedOn w:val="Normal"/>
    <w:next w:val="Normal"/>
    <w:qFormat/>
    <w:pPr>
      <w:numPr>
        <w:ilvl w:val="2"/>
        <w:numId w:val="1"/>
      </w:numPr>
      <w:spacing w:lineRule="auto" w:line="240"/>
      <w:outlineLvl w:val="2"/>
    </w:pPr>
    <w:rPr>
      <w:kern w:val="2"/>
      <w:lang w:val="en-GB"/>
    </w:rPr>
  </w:style>
  <w:style w:type="paragraph" w:styleId="Heading4">
    <w:name w:val="heading 4"/>
    <w:basedOn w:val="Normal"/>
    <w:next w:val="Normal"/>
    <w:qFormat/>
    <w:pPr>
      <w:numPr>
        <w:ilvl w:val="3"/>
        <w:numId w:val="1"/>
      </w:numPr>
      <w:spacing w:lineRule="auto" w:line="240"/>
      <w:outlineLvl w:val="3"/>
    </w:pPr>
    <w:rPr>
      <w:kern w:val="2"/>
      <w:lang w:val="en-GB"/>
    </w:rPr>
  </w:style>
  <w:style w:type="paragraph" w:styleId="Heading5">
    <w:name w:val="heading 5"/>
    <w:basedOn w:val="Normal"/>
    <w:next w:val="Normal"/>
    <w:qFormat/>
    <w:pPr>
      <w:numPr>
        <w:ilvl w:val="4"/>
        <w:numId w:val="1"/>
      </w:numPr>
      <w:spacing w:lineRule="auto" w:line="240"/>
      <w:outlineLvl w:val="4"/>
    </w:pPr>
    <w:rPr>
      <w:kern w:val="2"/>
      <w:lang w:val="en-GB"/>
    </w:rPr>
  </w:style>
  <w:style w:type="paragraph" w:styleId="Heading6">
    <w:name w:val="heading 6"/>
    <w:basedOn w:val="Normal"/>
    <w:next w:val="Normal"/>
    <w:qFormat/>
    <w:pPr>
      <w:numPr>
        <w:ilvl w:val="5"/>
        <w:numId w:val="1"/>
      </w:numPr>
      <w:spacing w:lineRule="auto" w:line="240"/>
      <w:outlineLvl w:val="5"/>
    </w:pPr>
    <w:rPr>
      <w:kern w:val="2"/>
      <w:lang w:val="en-GB"/>
    </w:rPr>
  </w:style>
  <w:style w:type="paragraph" w:styleId="Heading7">
    <w:name w:val="heading 7"/>
    <w:basedOn w:val="Normal"/>
    <w:next w:val="Normal"/>
    <w:qFormat/>
    <w:pPr>
      <w:numPr>
        <w:ilvl w:val="6"/>
        <w:numId w:val="1"/>
      </w:numPr>
      <w:spacing w:lineRule="auto" w:line="240"/>
      <w:outlineLvl w:val="6"/>
    </w:pPr>
    <w:rPr>
      <w:kern w:val="2"/>
      <w:lang w:val="en-GB"/>
    </w:rPr>
  </w:style>
  <w:style w:type="paragraph" w:styleId="Heading8">
    <w:name w:val="heading 8"/>
    <w:basedOn w:val="Normal"/>
    <w:next w:val="Normal"/>
    <w:qFormat/>
    <w:pPr>
      <w:numPr>
        <w:ilvl w:val="7"/>
        <w:numId w:val="1"/>
      </w:numPr>
      <w:spacing w:lineRule="auto" w:line="240"/>
      <w:outlineLvl w:val="7"/>
    </w:pPr>
    <w:rPr>
      <w:kern w:val="2"/>
      <w:lang w:val="en-GB"/>
    </w:rPr>
  </w:style>
  <w:style w:type="paragraph" w:styleId="Heading9">
    <w:name w:val="heading 9"/>
    <w:basedOn w:val="Normal"/>
    <w:next w:val="Normal"/>
    <w:qFormat/>
    <w:pPr>
      <w:numPr>
        <w:ilvl w:val="8"/>
        <w:numId w:val="1"/>
      </w:numPr>
      <w:outlineLvl w:val="8"/>
    </w:pPr>
    <w:rPr>
      <w:kern w:val="2"/>
      <w:lang w:val="en-GB"/>
    </w:rPr>
  </w:style>
  <w:style w:type="character" w:styleId="WW8Num1z0">
    <w:name w:val="WW8Num1z0"/>
    <w:qFormat/>
    <w:rPr>
      <w:b/>
      <w:i w:val="false"/>
    </w:rPr>
  </w:style>
  <w:style w:type="character" w:styleId="WW8Num1z1">
    <w:name w:val="WW8Num1z1"/>
    <w:qFormat/>
    <w:rPr/>
  </w:style>
  <w:style w:type="character" w:styleId="WW8Num1z4">
    <w:name w:val="WW8Num1z4"/>
    <w:qFormat/>
    <w:rPr>
      <w:rFonts w:ascii="Symbol" w:hAnsi="Symbol" w:cs="Symbol"/>
    </w:rPr>
  </w:style>
  <w:style w:type="character" w:styleId="WW8Num1z5">
    <w:name w:val="WW8Num1z5"/>
    <w:qFormat/>
    <w:rPr>
      <w:rFonts w:ascii="Wingdings" w:hAnsi="Wingdings" w:cs="Wingdings"/>
    </w:rPr>
  </w:style>
  <w:style w:type="character" w:styleId="WW8Num3z0">
    <w:name w:val="WW8Num3z0"/>
    <w:qFormat/>
    <w:rPr/>
  </w:style>
  <w:style w:type="character" w:styleId="WW8Num5z0">
    <w:name w:val="WW8Num5z0"/>
    <w:qFormat/>
    <w:rPr/>
  </w:style>
  <w:style w:type="character" w:styleId="WW8Num7z0">
    <w:name w:val="WW8Num7z0"/>
    <w:qFormat/>
    <w:rPr>
      <w:rFonts w:ascii="Arial" w:hAnsi="Arial" w:cs="Arial"/>
      <w:b/>
      <w:i w:val="false"/>
      <w:sz w:val="22"/>
    </w:rPr>
  </w:style>
  <w:style w:type="character" w:styleId="WW8Num7z1">
    <w:name w:val="WW8Num7z1"/>
    <w:qFormat/>
    <w:rPr>
      <w:rFonts w:ascii="Arial" w:hAnsi="Arial" w:cs="Arial"/>
      <w:b/>
      <w:i w:val="false"/>
      <w:sz w:val="21"/>
    </w:rPr>
  </w:style>
  <w:style w:type="character" w:styleId="WW8Num7z2">
    <w:name w:val="WW8Num7z2"/>
    <w:qFormat/>
    <w:rPr>
      <w:rFonts w:ascii="Arial" w:hAnsi="Arial" w:cs="Arial"/>
      <w:b/>
      <w:i w:val="false"/>
      <w:sz w:val="17"/>
    </w:rPr>
  </w:style>
  <w:style w:type="character" w:styleId="WW8Num7z3">
    <w:name w:val="WW8Num7z3"/>
    <w:qFormat/>
    <w:rPr>
      <w:rFonts w:ascii="Arial" w:hAnsi="Arial" w:cs="Arial"/>
      <w:b w:val="false"/>
      <w:i w:val="false"/>
      <w:sz w:val="20"/>
    </w:rPr>
  </w:style>
  <w:style w:type="character" w:styleId="WW8Num8z0">
    <w:name w:val="WW8Num8z0"/>
    <w:qFormat/>
    <w:rPr>
      <w:rFonts w:ascii="Symbol" w:hAnsi="Symbol" w:cs="Symbol"/>
    </w:rPr>
  </w:style>
  <w:style w:type="character" w:styleId="WW8Num9z0">
    <w:name w:val="WW8Num9z0"/>
    <w:qFormat/>
    <w:rPr>
      <w:rFonts w:ascii="Arial" w:hAnsi="Arial" w:cs="Arial"/>
      <w:b/>
      <w:i w:val="false"/>
      <w:sz w:val="21"/>
    </w:rPr>
  </w:style>
  <w:style w:type="character" w:styleId="WW8Num9z1">
    <w:name w:val="WW8Num9z1"/>
    <w:qFormat/>
    <w:rPr>
      <w:rFonts w:ascii="Arial" w:hAnsi="Arial" w:cs="Arial"/>
      <w:b/>
      <w:i w:val="false"/>
      <w:sz w:val="20"/>
    </w:rPr>
  </w:style>
  <w:style w:type="character" w:styleId="WW8Num9z2">
    <w:name w:val="WW8Num9z2"/>
    <w:qFormat/>
    <w:rPr>
      <w:b/>
      <w:i w:val="false"/>
      <w:sz w:val="17"/>
    </w:rPr>
  </w:style>
  <w:style w:type="character" w:styleId="WW8Num10z0">
    <w:name w:val="WW8Num10z0"/>
    <w:qFormat/>
    <w:rPr>
      <w:rFonts w:ascii="Times" w:hAnsi="Times" w:cs="Times"/>
      <w:b/>
      <w:i w:val="false"/>
      <w:sz w:val="22"/>
    </w:rPr>
  </w:style>
  <w:style w:type="character" w:styleId="WW8Num11z0">
    <w:name w:val="WW8Num11z0"/>
    <w:qFormat/>
    <w:rPr>
      <w:rFonts w:ascii="Arial" w:hAnsi="Arial" w:cs="Arial"/>
      <w:b/>
      <w:i w:val="false"/>
      <w:sz w:val="20"/>
    </w:rPr>
  </w:style>
  <w:style w:type="character" w:styleId="WW8Num11z2">
    <w:name w:val="WW8Num11z2"/>
    <w:qFormat/>
    <w:rPr>
      <w:rFonts w:ascii="Arial" w:hAnsi="Arial" w:cs="Arial"/>
      <w:b/>
      <w:i w:val="false"/>
      <w:sz w:val="17"/>
    </w:rPr>
  </w:style>
  <w:style w:type="character" w:styleId="WW8Num11z3">
    <w:name w:val="WW8Num11z3"/>
    <w:qFormat/>
    <w:rPr>
      <w:rFonts w:ascii="Arial" w:hAnsi="Arial" w:cs="Arial"/>
      <w:b w:val="false"/>
      <w:i w:val="false"/>
      <w:sz w:val="20"/>
    </w:rPr>
  </w:style>
  <w:style w:type="character" w:styleId="WW8Num12z0">
    <w:name w:val="WW8Num12z0"/>
    <w:qFormat/>
    <w:rPr>
      <w:rFonts w:ascii="Arial" w:hAnsi="Arial" w:cs="Arial"/>
      <w:b w:val="false"/>
      <w:i w:val="false"/>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b/>
      <w:i w:val="false"/>
    </w:rPr>
  </w:style>
  <w:style w:type="character" w:styleId="WW8Num17z0">
    <w:name w:val="WW8Num17z0"/>
    <w:qFormat/>
    <w:rPr>
      <w:rFonts w:ascii="Symbol" w:hAnsi="Symbol" w:cs="Symbol"/>
    </w:rPr>
  </w:style>
  <w:style w:type="character" w:styleId="WW8Num18z0">
    <w:name w:val="WW8Num18z0"/>
    <w:qFormat/>
    <w:rPr>
      <w:b/>
      <w:i w:val="false"/>
      <w:sz w:val="20"/>
    </w:rPr>
  </w:style>
  <w:style w:type="character" w:styleId="WW8Num19z0">
    <w:name w:val="WW8Num19z0"/>
    <w:qFormat/>
    <w:rPr>
      <w:rFonts w:ascii="Arial" w:hAnsi="Arial" w:cs="Arial"/>
      <w:b w:val="false"/>
      <w:i w:val="false"/>
      <w:sz w:val="20"/>
    </w:rPr>
  </w:style>
  <w:style w:type="character" w:styleId="WW8Num21z0">
    <w:name w:val="WW8Num21z0"/>
    <w:qFormat/>
    <w:rPr>
      <w:rFonts w:ascii="Arial" w:hAnsi="Arial" w:cs="Arial"/>
      <w:b w:val="false"/>
      <w:i w:val="false"/>
      <w:sz w:val="20"/>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rFonts w:ascii="Symbol" w:hAnsi="Symbol" w:cs="Symbol"/>
    </w:rPr>
  </w:style>
  <w:style w:type="character" w:styleId="WW8Num29z0">
    <w:name w:val="WW8Num29z0"/>
    <w:qFormat/>
    <w:rPr>
      <w:rFonts w:ascii="Arial" w:hAnsi="Arial" w:cs="Arial"/>
      <w:b w:val="false"/>
      <w:i w:val="false"/>
      <w:sz w:val="20"/>
    </w:rPr>
  </w:style>
  <w:style w:type="character" w:styleId="WW8Num30z0">
    <w:name w:val="WW8Num30z0"/>
    <w:qFormat/>
    <w:rPr>
      <w:rFonts w:ascii="Symbol" w:hAnsi="Symbol" w:cs="Symbol"/>
    </w:rPr>
  </w:style>
  <w:style w:type="character" w:styleId="WW8Num32z0">
    <w:name w:val="WW8Num32z0"/>
    <w:qFormat/>
    <w:rPr>
      <w:rFonts w:ascii="Arial" w:hAnsi="Arial" w:cs="Arial"/>
      <w:b/>
      <w:i w:val="false"/>
      <w:sz w:val="22"/>
    </w:rPr>
  </w:style>
  <w:style w:type="character" w:styleId="WW8Num32z1">
    <w:name w:val="WW8Num32z1"/>
    <w:qFormat/>
    <w:rPr>
      <w:rFonts w:ascii="Arial" w:hAnsi="Arial" w:cs="Arial"/>
      <w:b w:val="false"/>
      <w:i w:val="false"/>
      <w:sz w:val="20"/>
    </w:rPr>
  </w:style>
  <w:style w:type="character" w:styleId="WW8Num34z0">
    <w:name w:val="WW8Num34z0"/>
    <w:qFormat/>
    <w:rPr>
      <w:rFonts w:ascii="Symbol" w:hAnsi="Symbol" w:cs="Symbol"/>
    </w:rPr>
  </w:style>
  <w:style w:type="character" w:styleId="WW8Num35z0">
    <w:name w:val="WW8Num35z0"/>
    <w:qFormat/>
    <w:rPr>
      <w:rFonts w:ascii="Arial" w:hAnsi="Arial" w:cs="Arial"/>
      <w:b w:val="false"/>
      <w:i w:val="false"/>
      <w:sz w:val="20"/>
    </w:rPr>
  </w:style>
  <w:style w:type="character" w:styleId="WW8Num36z0">
    <w:name w:val="WW8Num36z0"/>
    <w:qFormat/>
    <w:rPr>
      <w:rFonts w:ascii="Arial" w:hAnsi="Arial" w:cs="Arial"/>
      <w:b w:val="false"/>
      <w:i w:val="false"/>
      <w:sz w:val="20"/>
    </w:rPr>
  </w:style>
  <w:style w:type="character" w:styleId="WW8Num37z0">
    <w:name w:val="WW8Num37z0"/>
    <w:qFormat/>
    <w:rPr>
      <w:rFonts w:ascii="Symbol" w:hAnsi="Symbol" w:cs="Symbol"/>
    </w:rPr>
  </w:style>
  <w:style w:type="character" w:styleId="WW8Num38z0">
    <w:name w:val="WW8Num38z0"/>
    <w:qFormat/>
    <w:rPr>
      <w:rFonts w:ascii="Arial" w:hAnsi="Arial" w:cs="Arial"/>
      <w:b/>
      <w:i w:val="false"/>
      <w:sz w:val="20"/>
    </w:rPr>
  </w:style>
  <w:style w:type="character" w:styleId="WW8Num38z1">
    <w:name w:val="WW8Num38z1"/>
    <w:qFormat/>
    <w:rPr>
      <w:rFonts w:ascii="Arial" w:hAnsi="Arial" w:cs="Arial"/>
      <w:b/>
      <w:i w:val="false"/>
      <w:sz w:val="19"/>
    </w:rPr>
  </w:style>
  <w:style w:type="character" w:styleId="WW8Num38z2">
    <w:name w:val="WW8Num38z2"/>
    <w:qFormat/>
    <w:rPr>
      <w:rFonts w:ascii="Arial" w:hAnsi="Arial" w:cs="Arial"/>
      <w:b w:val="false"/>
      <w:i w:val="false"/>
      <w:sz w:val="17"/>
    </w:rPr>
  </w:style>
  <w:style w:type="character" w:styleId="WW8Num39z0">
    <w:name w:val="WW8Num39z0"/>
    <w:qFormat/>
    <w:rPr>
      <w:rFonts w:ascii="Arial" w:hAnsi="Arial" w:cs="Arial"/>
      <w:b w:val="false"/>
      <w:i w:val="false"/>
      <w:sz w:val="20"/>
    </w:rPr>
  </w:style>
  <w:style w:type="character" w:styleId="WW8Num40z0">
    <w:name w:val="WW8Num40z0"/>
    <w:qFormat/>
    <w:rPr>
      <w:rFonts w:ascii="Symbol" w:hAnsi="Symbol" w:cs="Symbol"/>
    </w:rPr>
  </w:style>
  <w:style w:type="character" w:styleId="WW8Num41z0">
    <w:name w:val="WW8Num41z0"/>
    <w:qFormat/>
    <w:rPr>
      <w:rFonts w:ascii="Arial" w:hAnsi="Arial" w:cs="Arial"/>
      <w:b w:val="false"/>
      <w:i w:val="false"/>
      <w:sz w:val="20"/>
    </w:rPr>
  </w:style>
  <w:style w:type="character" w:styleId="WW8Num43z0">
    <w:name w:val="WW8Num43z0"/>
    <w:qFormat/>
    <w:rPr>
      <w:rFonts w:ascii="Arial" w:hAnsi="Arial" w:cs="Arial"/>
      <w:b w:val="false"/>
      <w:i w:val="false"/>
      <w:sz w:val="20"/>
    </w:rPr>
  </w:style>
  <w:style w:type="character" w:styleId="WW8Num44z0">
    <w:name w:val="WW8Num44z0"/>
    <w:qFormat/>
    <w:rPr>
      <w:rFonts w:ascii="Arial" w:hAnsi="Arial" w:cs="Arial"/>
      <w:b w:val="false"/>
      <w:i w:val="false"/>
      <w:sz w:val="20"/>
    </w:rPr>
  </w:style>
  <w:style w:type="character" w:styleId="WW8Num46z0">
    <w:name w:val="WW8Num46z0"/>
    <w:qFormat/>
    <w:rPr>
      <w:rFonts w:ascii="Arial" w:hAnsi="Arial" w:cs="Arial"/>
      <w:b w:val="false"/>
      <w:i w:val="false"/>
      <w:sz w:val="20"/>
    </w:rPr>
  </w:style>
  <w:style w:type="character" w:styleId="WW8Num47z0">
    <w:name w:val="WW8Num47z0"/>
    <w:qFormat/>
    <w:rPr>
      <w:rFonts w:ascii="Symbol" w:hAnsi="Symbol" w:cs="Symbol"/>
    </w:rPr>
  </w:style>
  <w:style w:type="character" w:styleId="WW8Num49z0">
    <w:name w:val="WW8Num49z0"/>
    <w:qFormat/>
    <w:rPr>
      <w:rFonts w:ascii="Arial" w:hAnsi="Arial" w:cs="Arial"/>
      <w:b/>
      <w:i w:val="false"/>
      <w:sz w:val="22"/>
    </w:rPr>
  </w:style>
  <w:style w:type="character" w:styleId="WW8Num49z1">
    <w:name w:val="WW8Num49z1"/>
    <w:qFormat/>
    <w:rPr>
      <w:rFonts w:ascii="Arial" w:hAnsi="Arial" w:cs="Arial"/>
      <w:b/>
      <w:i w:val="false"/>
      <w:sz w:val="21"/>
    </w:rPr>
  </w:style>
  <w:style w:type="character" w:styleId="WW8Num49z2">
    <w:name w:val="WW8Num49z2"/>
    <w:qFormat/>
    <w:rPr>
      <w:rFonts w:ascii="Arial" w:hAnsi="Arial" w:cs="Arial"/>
      <w:b/>
      <w:i w:val="false"/>
      <w:sz w:val="17"/>
    </w:rPr>
  </w:style>
  <w:style w:type="character" w:styleId="WW8Num49z3">
    <w:name w:val="WW8Num49z3"/>
    <w:qFormat/>
    <w:rPr>
      <w:rFonts w:ascii="Arial" w:hAnsi="Arial" w:cs="Arial"/>
      <w:b w:val="false"/>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b/>
      <w:i w:val="false"/>
    </w:rPr>
  </w:style>
  <w:style w:type="character" w:styleId="WW8Num53z0">
    <w:name w:val="WW8Num53z0"/>
    <w:qFormat/>
    <w:rPr>
      <w:rFonts w:ascii="Symbol" w:hAnsi="Symbol" w:cs="Symbol"/>
      <w:b w:val="false"/>
      <w:i w:val="false"/>
      <w:sz w:val="20"/>
    </w:rPr>
  </w:style>
  <w:style w:type="character" w:styleId="WW8Num55z0">
    <w:name w:val="WW8Num55z0"/>
    <w:qFormat/>
    <w:rPr>
      <w:rFonts w:ascii="Arial" w:hAnsi="Arial" w:cs="Arial"/>
      <w:b w:val="false"/>
      <w:i w:val="false"/>
      <w:sz w:val="20"/>
    </w:rPr>
  </w:style>
  <w:style w:type="character" w:styleId="WW8Num58z0">
    <w:name w:val="WW8Num58z0"/>
    <w:qFormat/>
    <w:rPr>
      <w:rFonts w:ascii="Arial" w:hAnsi="Arial" w:cs="Arial"/>
      <w:b/>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Arial" w:hAnsi="Arial" w:cs="Arial"/>
      <w:b/>
      <w:i w:val="false"/>
      <w:sz w:val="21"/>
    </w:rPr>
  </w:style>
  <w:style w:type="character" w:styleId="WW8Num60z1">
    <w:name w:val="WW8Num60z1"/>
    <w:qFormat/>
    <w:rPr>
      <w:rFonts w:ascii="Arial" w:hAnsi="Arial" w:cs="Arial"/>
      <w:b/>
      <w:i w:val="false"/>
      <w:sz w:val="20"/>
    </w:rPr>
  </w:style>
  <w:style w:type="character" w:styleId="WW8Num60z2">
    <w:name w:val="WW8Num60z2"/>
    <w:qFormat/>
    <w:rPr>
      <w:rFonts w:ascii="Arial" w:hAnsi="Arial" w:cs="Arial"/>
      <w:b/>
      <w:i w:val="false"/>
      <w:sz w:val="17"/>
    </w:rPr>
  </w:style>
  <w:style w:type="character" w:styleId="WW8Num60z3">
    <w:name w:val="WW8Num60z3"/>
    <w:qFormat/>
    <w:rPr>
      <w:rFonts w:ascii="Arial" w:hAnsi="Arial" w:cs="Arial"/>
      <w:b w:val="false"/>
      <w:i w:val="false"/>
      <w:sz w:val="20"/>
    </w:rPr>
  </w:style>
  <w:style w:type="character" w:styleId="WW8Num61z0">
    <w:name w:val="WW8Num61z0"/>
    <w:qFormat/>
    <w:rPr>
      <w:rFonts w:ascii="Arial" w:hAnsi="Arial" w:cs="Arial"/>
      <w:b w:val="false"/>
      <w:i w:val="false"/>
      <w:sz w:val="20"/>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4z0">
    <w:name w:val="WW8Num64z0"/>
    <w:qFormat/>
    <w:rPr>
      <w:rFonts w:ascii="Arial" w:hAnsi="Arial" w:cs="Arial"/>
      <w:b w:val="false"/>
      <w:i w:val="false"/>
      <w:sz w:val="20"/>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FootnoteCharacters">
    <w:name w:val="Footnote Characters"/>
    <w:basedOn w:val="DefaultParagraphFont"/>
    <w:qFormat/>
    <w:rPr>
      <w:rFonts w:ascii="Arial" w:hAnsi="Arial" w:cs="Arial"/>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
    <w:qFormat/>
    <w:pPr>
      <w:keepNext w:val="true"/>
      <w:keepLines/>
      <w:spacing w:before="0" w:after="240"/>
      <w:jc w:val="both"/>
      <w:outlineLvl w:val="3"/>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16"/>
      </w:numPr>
      <w:tabs>
        <w:tab w:val="clear" w:pos="720"/>
        <w:tab w:val="left" w:pos="567" w:leader="none"/>
      </w:tabs>
      <w:spacing w:before="0" w:after="140"/>
      <w:jc w:val="both"/>
    </w:pPr>
    <w:rPr/>
  </w:style>
  <w:style w:type="paragraph" w:styleId="alpha2">
    <w:name w:val="alpha 2"/>
    <w:basedOn w:val="Normal"/>
    <w:qFormat/>
    <w:pPr>
      <w:numPr>
        <w:ilvl w:val="0"/>
        <w:numId w:val="28"/>
      </w:numPr>
      <w:tabs>
        <w:tab w:val="clear" w:pos="720"/>
        <w:tab w:val="left" w:pos="1247" w:leader="none"/>
      </w:tabs>
      <w:spacing w:before="0" w:after="140"/>
      <w:jc w:val="both"/>
    </w:pPr>
    <w:rPr/>
  </w:style>
  <w:style w:type="paragraph" w:styleId="alpha3">
    <w:name w:val="alpha 3"/>
    <w:basedOn w:val="Normal"/>
    <w:qFormat/>
    <w:pPr>
      <w:numPr>
        <w:ilvl w:val="0"/>
        <w:numId w:val="10"/>
      </w:numPr>
      <w:tabs>
        <w:tab w:val="clear" w:pos="720"/>
        <w:tab w:val="left" w:pos="2041" w:leader="none"/>
      </w:tabs>
      <w:spacing w:before="0" w:after="140"/>
      <w:jc w:val="both"/>
    </w:pPr>
    <w:rPr/>
  </w:style>
  <w:style w:type="paragraph" w:styleId="alpha4">
    <w:name w:val="alpha 4"/>
    <w:basedOn w:val="Normal"/>
    <w:qFormat/>
    <w:pPr>
      <w:numPr>
        <w:ilvl w:val="0"/>
        <w:numId w:val="5"/>
      </w:numPr>
      <w:tabs>
        <w:tab w:val="clear" w:pos="720"/>
        <w:tab w:val="left" w:pos="2722" w:leader="none"/>
      </w:tabs>
      <w:spacing w:before="0" w:after="140"/>
      <w:ind w:hanging="680" w:start="2721" w:end="0"/>
      <w:jc w:val="both"/>
    </w:pPr>
    <w:rPr/>
  </w:style>
  <w:style w:type="paragraph" w:styleId="alpha5">
    <w:name w:val="alpha 5"/>
    <w:basedOn w:val="Normal"/>
    <w:qFormat/>
    <w:pPr>
      <w:numPr>
        <w:ilvl w:val="0"/>
        <w:numId w:val="15"/>
      </w:numPr>
      <w:tabs>
        <w:tab w:val="clear" w:pos="720"/>
        <w:tab w:val="left" w:pos="3289" w:leader="none"/>
      </w:tabs>
      <w:spacing w:before="0" w:after="140"/>
      <w:jc w:val="both"/>
    </w:pPr>
    <w:rPr/>
  </w:style>
  <w:style w:type="paragraph" w:styleId="alpha6">
    <w:name w:val="alpha 6"/>
    <w:basedOn w:val="Normal"/>
    <w:qFormat/>
    <w:pPr>
      <w:numPr>
        <w:ilvl w:val="0"/>
        <w:numId w:val="12"/>
      </w:numPr>
      <w:tabs>
        <w:tab w:val="clear" w:pos="720"/>
        <w:tab w:val="left" w:pos="3969" w:leader="none"/>
      </w:tabs>
      <w:spacing w:before="0" w:after="14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720"/>
        <w:tab w:val="left" w:pos="567" w:leader="none"/>
      </w:tabs>
      <w:ind w:hanging="0" w:start="567" w:end="0"/>
    </w:pPr>
    <w:rPr/>
  </w:style>
  <w:style w:type="paragraph" w:styleId="Body2">
    <w:name w:val="Body 2"/>
    <w:basedOn w:val="Body"/>
    <w:qFormat/>
    <w:pPr>
      <w:tabs>
        <w:tab w:val="clear" w:pos="720"/>
        <w:tab w:val="left" w:pos="1247" w:leader="none"/>
      </w:tabs>
      <w:ind w:hanging="0" w:start="1247" w:end="0"/>
    </w:pPr>
    <w:rPr/>
  </w:style>
  <w:style w:type="paragraph" w:styleId="Body3">
    <w:name w:val="Body 3"/>
    <w:basedOn w:val="Body"/>
    <w:qFormat/>
    <w:pPr>
      <w:tabs>
        <w:tab w:val="clear" w:pos="720"/>
        <w:tab w:val="left" w:pos="2041" w:leader="none"/>
      </w:tabs>
      <w:ind w:hanging="0" w:start="2041" w:end="0"/>
    </w:pPr>
    <w:rPr/>
  </w:style>
  <w:style w:type="paragraph" w:styleId="Body4">
    <w:name w:val="Body 4"/>
    <w:basedOn w:val="Body"/>
    <w:qFormat/>
    <w:pPr>
      <w:tabs>
        <w:tab w:val="clear" w:pos="720"/>
        <w:tab w:val="left" w:pos="2722" w:leader="none"/>
      </w:tabs>
      <w:ind w:hanging="0" w:start="2722" w:end="0"/>
    </w:pPr>
    <w:rPr/>
  </w:style>
  <w:style w:type="paragraph" w:styleId="Body5">
    <w:name w:val="Body 5"/>
    <w:basedOn w:val="Body"/>
    <w:qFormat/>
    <w:pPr>
      <w:tabs>
        <w:tab w:val="clear" w:pos="720"/>
        <w:tab w:val="left" w:pos="3289" w:leader="none"/>
      </w:tabs>
      <w:ind w:hanging="0" w:start="3289" w:end="0"/>
    </w:pPr>
    <w:rPr/>
  </w:style>
  <w:style w:type="paragraph" w:styleId="Body6">
    <w:name w:val="Body 6"/>
    <w:basedOn w:val="Body"/>
    <w:qFormat/>
    <w:pPr>
      <w:tabs>
        <w:tab w:val="clear" w:pos="720"/>
        <w:tab w:val="left" w:pos="3969" w:leader="none"/>
      </w:tabs>
      <w:ind w:hanging="0" w:start="3969" w:end="0"/>
    </w:pPr>
    <w:rPr/>
  </w:style>
  <w:style w:type="paragraph" w:styleId="Bullet1">
    <w:name w:val="Bullet 1"/>
    <w:basedOn w:val="Normal"/>
    <w:qFormat/>
    <w:pPr>
      <w:numPr>
        <w:ilvl w:val="0"/>
        <w:numId w:val="7"/>
      </w:numPr>
      <w:tabs>
        <w:tab w:val="clear" w:pos="720"/>
        <w:tab w:val="left" w:pos="567" w:leader="none"/>
      </w:tabs>
      <w:spacing w:before="0" w:after="140"/>
      <w:jc w:val="both"/>
    </w:pPr>
    <w:rPr/>
  </w:style>
  <w:style w:type="paragraph" w:styleId="Bullet2">
    <w:name w:val="Bullet 2"/>
    <w:basedOn w:val="Normal"/>
    <w:qFormat/>
    <w:pPr>
      <w:numPr>
        <w:ilvl w:val="0"/>
        <w:numId w:val="22"/>
      </w:numPr>
      <w:tabs>
        <w:tab w:val="clear" w:pos="720"/>
        <w:tab w:val="left" w:pos="1247" w:leader="none"/>
      </w:tabs>
      <w:spacing w:before="0" w:after="140"/>
      <w:jc w:val="both"/>
    </w:pPr>
    <w:rPr/>
  </w:style>
  <w:style w:type="paragraph" w:styleId="Bullet3">
    <w:name w:val="Bullet 3"/>
    <w:basedOn w:val="Normal"/>
    <w:qFormat/>
    <w:pPr>
      <w:numPr>
        <w:ilvl w:val="0"/>
        <w:numId w:val="11"/>
      </w:numPr>
      <w:tabs>
        <w:tab w:val="clear" w:pos="720"/>
        <w:tab w:val="left" w:pos="2041" w:leader="none"/>
      </w:tabs>
      <w:spacing w:before="0" w:after="140"/>
      <w:jc w:val="both"/>
    </w:pPr>
    <w:rPr/>
  </w:style>
  <w:style w:type="paragraph" w:styleId="Bullet4">
    <w:name w:val="Bullet 4"/>
    <w:basedOn w:val="Normal"/>
    <w:qFormat/>
    <w:pPr>
      <w:numPr>
        <w:ilvl w:val="0"/>
        <w:numId w:val="9"/>
      </w:numPr>
      <w:tabs>
        <w:tab w:val="clear" w:pos="720"/>
        <w:tab w:val="left" w:pos="2722" w:leader="none"/>
      </w:tabs>
      <w:spacing w:before="0" w:after="140"/>
      <w:ind w:hanging="680" w:start="2721" w:end="0"/>
      <w:jc w:val="both"/>
    </w:pPr>
    <w:rPr/>
  </w:style>
  <w:style w:type="paragraph" w:styleId="Bullet5">
    <w:name w:val="Bullet 5"/>
    <w:basedOn w:val="Normal"/>
    <w:qFormat/>
    <w:pPr>
      <w:numPr>
        <w:ilvl w:val="0"/>
        <w:numId w:val="14"/>
      </w:numPr>
      <w:tabs>
        <w:tab w:val="clear" w:pos="720"/>
        <w:tab w:val="left" w:pos="3289" w:leader="none"/>
      </w:tabs>
      <w:spacing w:before="0" w:after="140"/>
      <w:jc w:val="both"/>
    </w:pPr>
    <w:rPr/>
  </w:style>
  <w:style w:type="paragraph" w:styleId="Bullet6">
    <w:name w:val="Bullet 6"/>
    <w:basedOn w:val="Normal"/>
    <w:qFormat/>
    <w:pPr>
      <w:numPr>
        <w:ilvl w:val="0"/>
        <w:numId w:val="6"/>
      </w:numPr>
      <w:tabs>
        <w:tab w:val="clear" w:pos="720"/>
        <w:tab w:val="left" w:pos="3969"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
    <w:name w:val="Head"/>
    <w:basedOn w:val="Normal"/>
    <w:next w:val="Body"/>
    <w:qFormat/>
    <w:pPr>
      <w:keepNext w:val="true"/>
      <w:keepLines/>
      <w:spacing w:before="140" w:after="140"/>
      <w:jc w:val="both"/>
      <w:outlineLvl w:val="3"/>
    </w:pPr>
    <w:rPr>
      <w:b/>
      <w:sz w:val="23"/>
    </w:rPr>
  </w:style>
  <w:style w:type="paragraph" w:styleId="Head1">
    <w:name w:val="Head 1"/>
    <w:basedOn w:val="Normal"/>
    <w:next w:val="Body1"/>
    <w:qFormat/>
    <w:pPr>
      <w:keepNext w:val="true"/>
      <w:keepLines/>
      <w:spacing w:before="140" w:after="60"/>
      <w:ind w:hanging="0" w:start="567" w:end="0"/>
      <w:jc w:val="both"/>
      <w:outlineLvl w:val="3"/>
    </w:pPr>
    <w:rPr>
      <w:b/>
      <w:sz w:val="22"/>
    </w:rPr>
  </w:style>
  <w:style w:type="paragraph" w:styleId="Head2">
    <w:name w:val="Head 2"/>
    <w:basedOn w:val="Normal"/>
    <w:next w:val="Body2"/>
    <w:qFormat/>
    <w:pPr>
      <w:keepNext w:val="true"/>
      <w:keepLines/>
      <w:spacing w:before="140" w:after="60"/>
      <w:ind w:hanging="0" w:start="1247" w:end="0"/>
      <w:jc w:val="both"/>
      <w:outlineLvl w:val="3"/>
    </w:pPr>
    <w:rPr>
      <w:b/>
      <w:sz w:val="21"/>
    </w:rPr>
  </w:style>
  <w:style w:type="paragraph" w:styleId="Head3">
    <w:name w:val="Head 3"/>
    <w:basedOn w:val="Normal"/>
    <w:next w:val="Body3"/>
    <w:qFormat/>
    <w:pPr>
      <w:keepNext w:val="true"/>
      <w:keepLines/>
      <w:spacing w:before="140" w:after="40"/>
      <w:ind w:hanging="0" w:start="2041" w:end="0"/>
      <w:jc w:val="both"/>
      <w:outlineLvl w:val="3"/>
    </w:pPr>
    <w:rPr>
      <w:b/>
    </w:rPr>
  </w:style>
  <w:style w:type="paragraph" w:styleId="Level1">
    <w:name w:val="Level 1"/>
    <w:basedOn w:val="Normal"/>
    <w:qFormat/>
    <w:pPr>
      <w:numPr>
        <w:ilvl w:val="0"/>
        <w:numId w:val="21"/>
      </w:numPr>
      <w:spacing w:before="0" w:after="140"/>
      <w:jc w:val="both"/>
      <w:outlineLvl w:val="0"/>
    </w:pPr>
    <w:rPr/>
  </w:style>
  <w:style w:type="paragraph" w:styleId="Level2">
    <w:name w:val="Level 2"/>
    <w:basedOn w:val="Normal"/>
    <w:qFormat/>
    <w:pPr>
      <w:numPr>
        <w:ilvl w:val="0"/>
        <w:numId w:val="21"/>
      </w:numPr>
      <w:spacing w:before="0" w:after="140"/>
      <w:jc w:val="both"/>
      <w:outlineLvl w:val="1"/>
    </w:pPr>
    <w:rPr/>
  </w:style>
  <w:style w:type="paragraph" w:styleId="Level3">
    <w:name w:val="Level 3"/>
    <w:basedOn w:val="Normal"/>
    <w:qFormat/>
    <w:pPr>
      <w:numPr>
        <w:ilvl w:val="0"/>
        <w:numId w:val="21"/>
      </w:numPr>
      <w:spacing w:before="0" w:after="140"/>
      <w:jc w:val="both"/>
      <w:outlineLvl w:val="2"/>
    </w:pPr>
    <w:rPr/>
  </w:style>
  <w:style w:type="paragraph" w:styleId="Level4">
    <w:name w:val="Level 4"/>
    <w:basedOn w:val="Normal"/>
    <w:qFormat/>
    <w:pPr>
      <w:numPr>
        <w:ilvl w:val="0"/>
        <w:numId w:val="21"/>
      </w:numPr>
      <w:spacing w:before="0" w:after="140"/>
      <w:jc w:val="both"/>
      <w:outlineLvl w:val="3"/>
    </w:pPr>
    <w:rPr/>
  </w:style>
  <w:style w:type="paragraph" w:styleId="Level5">
    <w:name w:val="Level 5"/>
    <w:basedOn w:val="Normal"/>
    <w:qFormat/>
    <w:pPr>
      <w:numPr>
        <w:ilvl w:val="0"/>
        <w:numId w:val="21"/>
      </w:numPr>
      <w:spacing w:before="0" w:after="140"/>
      <w:jc w:val="both"/>
      <w:outlineLvl w:val="4"/>
    </w:pPr>
    <w:rPr/>
  </w:style>
  <w:style w:type="paragraph" w:styleId="Level6">
    <w:name w:val="Level 6"/>
    <w:basedOn w:val="Normal"/>
    <w:qFormat/>
    <w:pPr>
      <w:numPr>
        <w:ilvl w:val="0"/>
        <w:numId w:val="21"/>
      </w:numPr>
      <w:spacing w:before="0" w:after="140"/>
      <w:jc w:val="both"/>
      <w:outlineLvl w:val="5"/>
    </w:pPr>
    <w:rPr/>
  </w:style>
  <w:style w:type="paragraph" w:styleId="Parties">
    <w:name w:val="Parties"/>
    <w:basedOn w:val="Normal"/>
    <w:qFormat/>
    <w:pPr>
      <w:numPr>
        <w:ilvl w:val="0"/>
        <w:numId w:val="26"/>
      </w:numPr>
      <w:spacing w:before="0" w:after="140"/>
      <w:jc w:val="both"/>
    </w:pPr>
    <w:rPr/>
  </w:style>
  <w:style w:type="paragraph" w:styleId="Recitals">
    <w:name w:val="Recitals"/>
    <w:basedOn w:val="Body"/>
    <w:qFormat/>
    <w:pPr>
      <w:keepNext w:val="true"/>
      <w:numPr>
        <w:ilvl w:val="0"/>
        <w:numId w:val="3"/>
      </w:numPr>
      <w:spacing w:lineRule="auto" w:line="360" w:before="0" w:after="0"/>
    </w:pPr>
    <w:rPr>
      <w:rFonts w:ascii="Times" w:hAnsi="Times" w:cs="Times"/>
      <w:b/>
      <w:sz w:val="22"/>
    </w:rPr>
  </w:style>
  <w:style w:type="paragraph" w:styleId="roman1">
    <w:name w:val="roman 1"/>
    <w:basedOn w:val="Normal"/>
    <w:qFormat/>
    <w:pPr>
      <w:numPr>
        <w:ilvl w:val="0"/>
        <w:numId w:val="20"/>
      </w:numPr>
      <w:tabs>
        <w:tab w:val="clear" w:pos="720"/>
        <w:tab w:val="left" w:pos="567" w:leader="none"/>
      </w:tabs>
      <w:spacing w:before="0" w:after="140"/>
      <w:jc w:val="both"/>
    </w:pPr>
    <w:rPr/>
  </w:style>
  <w:style w:type="paragraph" w:styleId="roman2">
    <w:name w:val="roman 2"/>
    <w:basedOn w:val="Normal"/>
    <w:qFormat/>
    <w:pPr>
      <w:numPr>
        <w:ilvl w:val="0"/>
        <w:numId w:val="30"/>
      </w:numPr>
      <w:tabs>
        <w:tab w:val="clear" w:pos="720"/>
        <w:tab w:val="left" w:pos="1247" w:leader="none"/>
      </w:tabs>
      <w:spacing w:before="0" w:after="140"/>
      <w:jc w:val="both"/>
    </w:pPr>
    <w:rPr/>
  </w:style>
  <w:style w:type="paragraph" w:styleId="roman3">
    <w:name w:val="roman 3"/>
    <w:basedOn w:val="Normal"/>
    <w:qFormat/>
    <w:pPr>
      <w:numPr>
        <w:ilvl w:val="0"/>
        <w:numId w:val="23"/>
      </w:numPr>
      <w:tabs>
        <w:tab w:val="clear" w:pos="720"/>
        <w:tab w:val="left" w:pos="2041" w:leader="none"/>
      </w:tabs>
      <w:spacing w:before="0" w:after="140"/>
      <w:jc w:val="both"/>
    </w:pPr>
    <w:rPr/>
  </w:style>
  <w:style w:type="paragraph" w:styleId="roman4">
    <w:name w:val="roman 4"/>
    <w:basedOn w:val="Normal"/>
    <w:qFormat/>
    <w:pPr>
      <w:numPr>
        <w:ilvl w:val="0"/>
        <w:numId w:val="19"/>
      </w:numPr>
      <w:tabs>
        <w:tab w:val="clear" w:pos="720"/>
        <w:tab w:val="left" w:pos="2722" w:leader="none"/>
      </w:tabs>
      <w:spacing w:before="0" w:after="140"/>
      <w:ind w:hanging="680" w:start="2721" w:end="0"/>
      <w:jc w:val="both"/>
    </w:pPr>
    <w:rPr/>
  </w:style>
  <w:style w:type="paragraph" w:styleId="roman5">
    <w:name w:val="roman 5"/>
    <w:basedOn w:val="Normal"/>
    <w:qFormat/>
    <w:pPr>
      <w:numPr>
        <w:ilvl w:val="0"/>
        <w:numId w:val="29"/>
      </w:numPr>
      <w:tabs>
        <w:tab w:val="clear" w:pos="720"/>
        <w:tab w:val="left" w:pos="3289" w:leader="none"/>
      </w:tabs>
      <w:spacing w:before="0" w:after="140"/>
      <w:jc w:val="both"/>
    </w:pPr>
    <w:rPr/>
  </w:style>
  <w:style w:type="paragraph" w:styleId="roman6">
    <w:name w:val="roman 6"/>
    <w:basedOn w:val="Normal"/>
    <w:qFormat/>
    <w:pPr>
      <w:numPr>
        <w:ilvl w:val="0"/>
        <w:numId w:val="27"/>
      </w:numPr>
      <w:tabs>
        <w:tab w:val="clear" w:pos="720"/>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2"/>
      </w:numPr>
      <w:spacing w:before="0" w:after="140"/>
      <w:jc w:val="both"/>
      <w:outlineLvl w:val="0"/>
    </w:pPr>
    <w:rPr/>
  </w:style>
  <w:style w:type="paragraph" w:styleId="Schedule2">
    <w:name w:val="Schedule 2"/>
    <w:basedOn w:val="Normal"/>
    <w:next w:val="Body2"/>
    <w:qFormat/>
    <w:pPr>
      <w:numPr>
        <w:ilvl w:val="0"/>
        <w:numId w:val="2"/>
      </w:numPr>
      <w:spacing w:before="0" w:after="140"/>
      <w:jc w:val="both"/>
      <w:outlineLvl w:val="1"/>
    </w:pPr>
    <w:rPr/>
  </w:style>
  <w:style w:type="paragraph" w:styleId="Schedule3">
    <w:name w:val="Schedule 3"/>
    <w:basedOn w:val="Normal"/>
    <w:next w:val="Body3"/>
    <w:qFormat/>
    <w:pPr>
      <w:numPr>
        <w:ilvl w:val="0"/>
        <w:numId w:val="2"/>
      </w:numPr>
      <w:spacing w:before="0" w:after="140"/>
      <w:jc w:val="both"/>
      <w:outlineLvl w:val="2"/>
    </w:pPr>
    <w:rPr/>
  </w:style>
  <w:style w:type="paragraph" w:styleId="Schedule4">
    <w:name w:val="Schedule 4"/>
    <w:basedOn w:val="Normal"/>
    <w:next w:val="Body4"/>
    <w:qFormat/>
    <w:pPr>
      <w:numPr>
        <w:ilvl w:val="0"/>
        <w:numId w:val="2"/>
      </w:numPr>
      <w:spacing w:before="0" w:after="140"/>
      <w:jc w:val="both"/>
      <w:outlineLvl w:val="3"/>
    </w:pPr>
    <w:rPr/>
  </w:style>
  <w:style w:type="paragraph" w:styleId="Schedule5">
    <w:name w:val="Schedule 5"/>
    <w:basedOn w:val="Normal"/>
    <w:next w:val="Body5"/>
    <w:qFormat/>
    <w:pPr>
      <w:numPr>
        <w:ilvl w:val="0"/>
        <w:numId w:val="2"/>
      </w:numPr>
      <w:spacing w:before="0" w:after="140"/>
      <w:jc w:val="both"/>
      <w:outlineLvl w:val="4"/>
    </w:pPr>
    <w:rPr/>
  </w:style>
  <w:style w:type="paragraph" w:styleId="Schedule6">
    <w:name w:val="Schedule 6"/>
    <w:basedOn w:val="Normal"/>
    <w:next w:val="Body6"/>
    <w:qFormat/>
    <w:pPr>
      <w:numPr>
        <w:ilvl w:val="0"/>
        <w:numId w:val="2"/>
      </w:numPr>
      <w:spacing w:before="0" w:after="140"/>
      <w:jc w:val="both"/>
      <w:outlineLvl w:val="5"/>
    </w:pPr>
    <w:rPr/>
  </w:style>
  <w:style w:type="paragraph" w:styleId="SubHead">
    <w:name w:val="SubHead"/>
    <w:basedOn w:val="Normal"/>
    <w:next w:val="Body"/>
    <w:qFormat/>
    <w:pPr>
      <w:keepNext w:val="true"/>
      <w:keepLines/>
      <w:spacing w:before="60" w:after="60"/>
      <w:jc w:val="both"/>
      <w:outlineLvl w:val="3"/>
    </w:pPr>
    <w:rPr>
      <w:b/>
      <w:sz w:val="21"/>
    </w:rPr>
  </w:style>
  <w:style w:type="paragraph" w:styleId="TCLevel1">
    <w:name w:val="T+C Level 1"/>
    <w:basedOn w:val="Body"/>
    <w:next w:val="TCLevel2"/>
    <w:qFormat/>
    <w:pPr>
      <w:keepNext w:val="true"/>
      <w:numPr>
        <w:ilvl w:val="0"/>
        <w:numId w:val="13"/>
      </w:numPr>
      <w:tabs>
        <w:tab w:val="clear" w:pos="720"/>
        <w:tab w:val="left" w:pos="567" w:leader="none"/>
      </w:tabs>
      <w:spacing w:before="140" w:after="0"/>
      <w:outlineLvl w:val="0"/>
    </w:pPr>
    <w:rPr>
      <w:b/>
    </w:rPr>
  </w:style>
  <w:style w:type="paragraph" w:styleId="TCLevel2">
    <w:name w:val="T+C Level 2"/>
    <w:basedOn w:val="Body"/>
    <w:qFormat/>
    <w:pPr>
      <w:numPr>
        <w:ilvl w:val="0"/>
        <w:numId w:val="13"/>
      </w:numPr>
      <w:tabs>
        <w:tab w:val="clear" w:pos="720"/>
        <w:tab w:val="left" w:pos="1247" w:leader="none"/>
      </w:tabs>
      <w:outlineLvl w:val="1"/>
    </w:pPr>
    <w:rPr/>
  </w:style>
  <w:style w:type="paragraph" w:styleId="TCLevel3">
    <w:name w:val="T+C Level 3"/>
    <w:basedOn w:val="Body"/>
    <w:qFormat/>
    <w:pPr>
      <w:numPr>
        <w:ilvl w:val="0"/>
        <w:numId w:val="13"/>
      </w:numPr>
      <w:tabs>
        <w:tab w:val="clear" w:pos="720"/>
        <w:tab w:val="left" w:pos="2041" w:leader="none"/>
      </w:tabs>
      <w:outlineLvl w:val="2"/>
    </w:pPr>
    <w:rPr/>
  </w:style>
  <w:style w:type="paragraph" w:styleId="TCLevel4">
    <w:name w:val="T+C Level 4"/>
    <w:basedOn w:val="Body"/>
    <w:qFormat/>
    <w:pPr>
      <w:numPr>
        <w:ilvl w:val="0"/>
        <w:numId w:val="13"/>
      </w:numPr>
      <w:tabs>
        <w:tab w:val="clear" w:pos="720"/>
        <w:tab w:val="left" w:pos="2722" w:leader="none"/>
      </w:tabs>
      <w:ind w:hanging="680" w:start="2721" w:end="0"/>
      <w:outlineLvl w:val="3"/>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tabs>
        <w:tab w:val="clear" w:pos="720"/>
        <w:tab w:val="center" w:pos="4536" w:leader="none"/>
        <w:tab w:val="right" w:pos="9072" w:leader="none"/>
      </w:tabs>
      <w:spacing w:lineRule="auto" w:line="240"/>
    </w:pPr>
    <w:rPr>
      <w:sz w:val="17"/>
    </w:rPr>
  </w:style>
  <w:style w:type="paragraph" w:styleId="FootnoteText">
    <w:name w:val="footnote text"/>
    <w:basedOn w:val="Normal"/>
    <w:pPr>
      <w:keepLines/>
      <w:tabs>
        <w:tab w:val="clear" w:pos="720"/>
        <w:tab w:val="left" w:pos="227" w:leader="none"/>
      </w:tabs>
      <w:spacing w:lineRule="atLeast" w:line="200" w:before="0" w:after="60"/>
      <w:jc w:val="both"/>
    </w:pPr>
    <w:rPr>
      <w:sz w:val="16"/>
    </w:rPr>
  </w:style>
  <w:style w:type="paragraph" w:styleId="Header">
    <w:name w:val="header"/>
    <w:basedOn w:val="Normal"/>
    <w:pPr>
      <w:tabs>
        <w:tab w:val="clear" w:pos="720"/>
        <w:tab w:val="center" w:pos="4536" w:leader="none"/>
        <w:tab w:val="right" w:pos="9072" w:leader="none"/>
      </w:tabs>
      <w:spacing w:lineRule="auto" w:line="240"/>
    </w:pPr>
    <w:rPr>
      <w:sz w:val="19"/>
    </w:rPr>
  </w:style>
  <w:style w:type="paragraph" w:styleId="TOC1">
    <w:name w:val="toc 1"/>
    <w:basedOn w:val="Normal"/>
    <w:next w:val="Normal"/>
    <w:pPr>
      <w:spacing w:before="140" w:after="140"/>
      <w:ind w:hanging="902" w:start="902" w:end="0"/>
    </w:pPr>
    <w:rPr/>
  </w:style>
  <w:style w:type="paragraph" w:styleId="TOC2">
    <w:name w:val="toc 2"/>
    <w:basedOn w:val="Normal"/>
    <w:next w:val="Normal"/>
    <w:pPr>
      <w:spacing w:before="140" w:after="140"/>
      <w:ind w:hanging="680" w:start="878" w:end="0"/>
    </w:pPr>
    <w:rPr/>
  </w:style>
  <w:style w:type="paragraph" w:styleId="TOC3">
    <w:name w:val="toc 3"/>
    <w:basedOn w:val="Normal"/>
    <w:next w:val="Normal"/>
    <w:pPr>
      <w:spacing w:before="140" w:after="140"/>
      <w:ind w:hanging="794" w:start="2041" w:end="0"/>
    </w:pPr>
    <w:rPr/>
  </w:style>
  <w:style w:type="paragraph" w:styleId="TOC4">
    <w:name w:val="toc 4"/>
    <w:basedOn w:val="Normal"/>
    <w:next w:val="Normal"/>
    <w:pPr>
      <w:spacing w:before="140" w:after="140"/>
      <w:ind w:hanging="0" w:start="601" w:end="0"/>
    </w:pPr>
    <w:rPr/>
  </w:style>
  <w:style w:type="paragraph" w:styleId="TOC5">
    <w:name w:val="toc 5"/>
    <w:basedOn w:val="Normal"/>
    <w:next w:val="Normal"/>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spacing w:lineRule="auto" w:line="341" w:before="240" w:after="160"/>
      <w:ind w:hanging="0" w:start="567" w:end="567"/>
      <w:jc w:val="center"/>
    </w:pPr>
    <w:rPr>
      <w:b/>
      <w:w w:val="125"/>
      <w:sz w:val="28"/>
    </w:rPr>
  </w:style>
  <w:style w:type="paragraph" w:styleId="zFSDate">
    <w:name w:val="zFSDate"/>
    <w:basedOn w:val="Normal"/>
    <w:qFormat/>
    <w:pPr>
      <w:jc w:val="center"/>
    </w:pPr>
    <w:rPr/>
  </w:style>
  <w:style w:type="paragraph" w:styleId="zFSFooter">
    <w:name w:val="zFSFooter"/>
    <w:basedOn w:val="Normal"/>
    <w:qFormat/>
    <w:pPr>
      <w:tabs>
        <w:tab w:val="clear" w:pos="720"/>
        <w:tab w:val="left" w:pos="6521" w:leader="none"/>
      </w:tabs>
      <w:spacing w:before="0" w:after="40"/>
      <w:ind w:hanging="0" w:start="-108" w:end="0"/>
    </w:pPr>
    <w:rPr>
      <w:sz w:val="16"/>
    </w:rPr>
  </w:style>
  <w:style w:type="paragraph" w:styleId="BulletF">
    <w:name w:val="BulletF"/>
    <w:basedOn w:val="Normal"/>
    <w:qFormat/>
    <w:pPr>
      <w:numPr>
        <w:ilvl w:val="0"/>
        <w:numId w:val="17"/>
      </w:numPr>
      <w:tabs>
        <w:tab w:val="clear" w:pos="720"/>
      </w:tabs>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6">
    <w:name w:val="toc 6"/>
    <w:basedOn w:val="Normal"/>
    <w:next w:val="Normal"/>
    <w:pPr>
      <w:tabs>
        <w:tab w:val="clear" w:pos="720"/>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Table1">
    <w:name w:val="Table 1"/>
    <w:basedOn w:val="CellBody"/>
    <w:qFormat/>
    <w:pPr>
      <w:numPr>
        <w:ilvl w:val="0"/>
        <w:numId w:val="4"/>
      </w:numPr>
    </w:pPr>
    <w:rPr/>
  </w:style>
  <w:style w:type="paragraph" w:styleId="Table2">
    <w:name w:val="Table 2"/>
    <w:basedOn w:val="CellBody"/>
    <w:qFormat/>
    <w:pPr>
      <w:numPr>
        <w:ilvl w:val="0"/>
        <w:numId w:val="4"/>
      </w:numPr>
    </w:pPr>
    <w:rPr/>
  </w:style>
  <w:style w:type="paragraph" w:styleId="Table3">
    <w:name w:val="Table 3"/>
    <w:basedOn w:val="CellBody"/>
    <w:qFormat/>
    <w:pPr>
      <w:numPr>
        <w:ilvl w:val="0"/>
        <w:numId w:val="4"/>
      </w:numPr>
    </w:pPr>
    <w:rPr/>
  </w:style>
  <w:style w:type="paragraph" w:styleId="Table4">
    <w:name w:val="Table 4"/>
    <w:basedOn w:val="CellBody"/>
    <w:qFormat/>
    <w:pPr>
      <w:numPr>
        <w:ilvl w:val="0"/>
        <w:numId w:val="4"/>
      </w:numPr>
      <w:tabs>
        <w:tab w:val="clear" w:pos="720"/>
        <w:tab w:val="left" w:pos="567" w:leader="none"/>
      </w:tabs>
    </w:pPr>
    <w:rPr/>
  </w:style>
  <w:style w:type="paragraph" w:styleId="Table5">
    <w:name w:val="Table 5"/>
    <w:basedOn w:val="CellBody"/>
    <w:qFormat/>
    <w:pPr>
      <w:numPr>
        <w:ilvl w:val="0"/>
        <w:numId w:val="4"/>
      </w:numPr>
    </w:pPr>
    <w:rPr/>
  </w:style>
  <w:style w:type="paragraph" w:styleId="Table6">
    <w:name w:val="Table 6"/>
    <w:basedOn w:val="CellBody"/>
    <w:qFormat/>
    <w:pPr>
      <w:numPr>
        <w:ilvl w:val="0"/>
        <w:numId w:val="4"/>
      </w:numPr>
      <w:tabs>
        <w:tab w:val="clear" w:pos="720"/>
        <w:tab w:val="left" w:pos="567" w:leader="none"/>
      </w:tabs>
    </w:pPr>
    <w:rPr/>
  </w:style>
  <w:style w:type="paragraph" w:styleId="Tablealpha">
    <w:name w:val="Table alpha"/>
    <w:basedOn w:val="CellBody"/>
    <w:qFormat/>
    <w:pPr>
      <w:numPr>
        <w:ilvl w:val="0"/>
        <w:numId w:val="8"/>
      </w:numPr>
    </w:pPr>
    <w:rPr/>
  </w:style>
  <w:style w:type="paragraph" w:styleId="Tableroman">
    <w:name w:val="Table roman"/>
    <w:basedOn w:val="CellBody"/>
    <w:qFormat/>
    <w:pPr>
      <w:numPr>
        <w:ilvl w:val="0"/>
        <w:numId w:val="25"/>
      </w:numPr>
      <w:tabs>
        <w:tab w:val="clear" w:pos="720"/>
        <w:tab w:val="left" w:pos="567" w:leader="none"/>
      </w:tabs>
    </w:pPr>
    <w:rPr/>
  </w:style>
  <w:style w:type="paragraph" w:styleId="Tablebullet">
    <w:name w:val="Table bullet"/>
    <w:basedOn w:val="CellBody"/>
    <w:qFormat/>
    <w:pPr>
      <w:numPr>
        <w:ilvl w:val="0"/>
        <w:numId w:val="24"/>
      </w:numPr>
    </w:pPr>
    <w:rPr/>
  </w:style>
  <w:style w:type="paragraph" w:styleId="1LevelPara">
    <w:name w:val="1 Level Para."/>
    <w:basedOn w:val="Normal"/>
    <w:qFormat/>
    <w:pPr>
      <w:numPr>
        <w:ilvl w:val="0"/>
        <w:numId w:val="18"/>
      </w:numPr>
      <w:spacing w:lineRule="auto" w:line="360" w:before="0" w:after="140"/>
      <w:jc w:val="both"/>
      <w:outlineLvl w:val="0"/>
    </w:pPr>
    <w:rPr>
      <w:rFonts w:ascii="Times" w:hAnsi="Times" w:cs="Times"/>
      <w:kern w:val="0"/>
      <w:sz w:val="22"/>
    </w:rPr>
  </w:style>
  <w:style w:type="paragraph" w:styleId="2LevelPara">
    <w:name w:val="2 Level Para."/>
    <w:basedOn w:val="Normal"/>
    <w:qFormat/>
    <w:pPr>
      <w:numPr>
        <w:ilvl w:val="0"/>
        <w:numId w:val="18"/>
      </w:numPr>
      <w:spacing w:lineRule="auto" w:line="360" w:before="0" w:after="140"/>
      <w:jc w:val="both"/>
      <w:outlineLvl w:val="1"/>
    </w:pPr>
    <w:rPr>
      <w:rFonts w:ascii="Times" w:hAnsi="Times" w:cs="Times"/>
      <w:kern w:val="0"/>
      <w:sz w:val="22"/>
    </w:rPr>
  </w:style>
  <w:style w:type="paragraph" w:styleId="3LevelPara">
    <w:name w:val="3 Level Para."/>
    <w:basedOn w:val="Normal"/>
    <w:qFormat/>
    <w:pPr>
      <w:numPr>
        <w:ilvl w:val="0"/>
        <w:numId w:val="18"/>
      </w:numPr>
      <w:spacing w:lineRule="auto" w:line="360" w:before="0" w:after="140"/>
      <w:jc w:val="both"/>
      <w:outlineLvl w:val="2"/>
    </w:pPr>
    <w:rPr>
      <w:rFonts w:ascii="Times" w:hAnsi="Times" w:cs="Times"/>
      <w:kern w:val="0"/>
      <w:sz w:val="22"/>
    </w:rPr>
  </w:style>
  <w:style w:type="paragraph" w:styleId="4LevelPara">
    <w:name w:val="4 Level Para."/>
    <w:basedOn w:val="Normal"/>
    <w:qFormat/>
    <w:pPr>
      <w:numPr>
        <w:ilvl w:val="0"/>
        <w:numId w:val="18"/>
      </w:numPr>
      <w:spacing w:lineRule="auto" w:line="300" w:before="240" w:after="0"/>
      <w:jc w:val="both"/>
      <w:outlineLvl w:val="3"/>
    </w:pPr>
    <w:rPr>
      <w:rFonts w:ascii="Baskerville BT;Times New Roman" w:hAnsi="Baskerville BT;Times New Roman" w:cs="Baskerville BT;Times New Roman"/>
      <w:kern w:val="0"/>
      <w:sz w:val="24"/>
    </w:rPr>
  </w:style>
  <w:style w:type="paragraph" w:styleId="5LevelPara">
    <w:name w:val="5 Level Para."/>
    <w:basedOn w:val="Normal"/>
    <w:qFormat/>
    <w:pPr>
      <w:numPr>
        <w:ilvl w:val="0"/>
        <w:numId w:val="18"/>
      </w:numPr>
      <w:spacing w:lineRule="auto" w:line="300" w:before="240" w:after="0"/>
      <w:jc w:val="both"/>
      <w:outlineLvl w:val="4"/>
    </w:pPr>
    <w:rPr>
      <w:rFonts w:ascii="Baskerville BT;Times New Roman" w:hAnsi="Baskerville BT;Times New Roman" w:cs="Baskerville BT;Times New Roman"/>
      <w:kern w:val="0"/>
      <w:sz w:val="24"/>
    </w:rPr>
  </w:style>
  <w:style w:type="paragraph" w:styleId="6LevelPara">
    <w:name w:val="6 Level Para."/>
    <w:basedOn w:val="Normal"/>
    <w:qFormat/>
    <w:pPr>
      <w:numPr>
        <w:ilvl w:val="0"/>
        <w:numId w:val="18"/>
      </w:numPr>
      <w:spacing w:lineRule="auto" w:line="300" w:before="240" w:after="0"/>
      <w:jc w:val="both"/>
      <w:outlineLvl w:val="5"/>
    </w:pPr>
    <w:rPr>
      <w:rFonts w:ascii="Baskerville BT;Times New Roman" w:hAnsi="Baskerville BT;Times New Roman" w:cs="Baskerville BT;Times New Roman"/>
      <w:kern w:val="0"/>
      <w:sz w:val="24"/>
    </w:rPr>
  </w:style>
  <w:style w:type="paragraph" w:styleId="7LevelPara">
    <w:name w:val="7 Level Para."/>
    <w:basedOn w:val="Normal"/>
    <w:qFormat/>
    <w:pPr>
      <w:numPr>
        <w:ilvl w:val="0"/>
        <w:numId w:val="18"/>
      </w:numPr>
      <w:spacing w:lineRule="auto" w:line="300" w:before="240" w:after="0"/>
      <w:jc w:val="both"/>
      <w:outlineLvl w:val="6"/>
    </w:pPr>
    <w:rPr>
      <w:rFonts w:ascii="Baskerville BT;Times New Roman" w:hAnsi="Baskerville BT;Times New Roman" w:cs="Baskerville BT;Times New Roman"/>
      <w:kern w:val="0"/>
      <w:sz w:val="24"/>
    </w:rPr>
  </w:style>
  <w:style w:type="paragraph" w:styleId="Heading10">
    <w:name w:val="Heading*"/>
    <w:basedOn w:val="Normal"/>
    <w:qFormat/>
    <w:pPr/>
    <w:rPr>
      <w:rFonts w:ascii="Times" w:hAnsi="Times" w:cs="Times"/>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2001-04-09T14:18:00Z</dcterms:created>
  <dc:creator>Any Authorised User</dc:creator>
  <dc:description/>
  <dc:language>en-CA</dc:language>
  <cp:lastModifiedBy>Any Authorised User</cp:lastModifiedBy>
  <cp:lastPrinted>2001-04-10T00:35:00Z</cp:lastPrinted>
  <dcterms:modified xsi:type="dcterms:W3CDTF">2001-04-09T14:19:00Z</dcterms:modified>
  <cp:revision>4</cp:revision>
  <dc:subject/>
  <dc:title>Dated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property>
  <property fmtid="{D5CDD505-2E9C-101B-9397-08002B2CF9AE}" pid="3" name="Last Modified">
    <vt:lpwstr/>
  </property>
  <property fmtid="{D5CDD505-2E9C-101B-9397-08002B2CF9AE}" pid="4" name="Template Version">
    <vt:lpwstr>6.5a</vt:lpwstr>
  </property>
  <property fmtid="{D5CDD505-2E9C-101B-9397-08002B2CF9AE}" pid="5" name="Version">
    <vt:lpwstr/>
  </property>
</Properties>
</file>