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General</w:t>
      </w:r>
    </w:p>
    <w:p>
      <w:pPr>
        <w:pStyle w:val="1LevelPara"/>
        <w:numPr>
          <w:ilvl w:val="0"/>
          <w:numId w:val="18"/>
        </w:numPr>
        <w:ind w:hanging="0" w:start="0" w:end="0"/>
        <w:rPr/>
      </w:pPr>
      <w:r>
        <w:rPr/>
        <w:t>This Notice of Arbitration, pertaining to a State Support Agreement between the Claimant and the Respondent made as a deed on 24</w:t>
      </w:r>
      <w:r>
        <w:rPr>
          <w:vertAlign w:val="superscript"/>
        </w:rPr>
        <w:t>th</w:t>
      </w:r>
      <w:r>
        <w:rPr/>
        <w:t xml:space="preserve"> June 1994 (as amended in terms of Clause 5.1 of a Supplemental State Support Agreement between the Claimant and the Respondent made as a deed on 27</w:t>
      </w:r>
      <w:r>
        <w:rPr>
          <w:vertAlign w:val="superscript"/>
        </w:rPr>
        <w:t>th</w:t>
      </w:r>
      <w:r>
        <w:rPr/>
        <w:t xml:space="preserve"> July 1996) (“the GOM Support Agreement” and “the Supplemental GOM Support Agreement” respectively), is served along with a Notice of Arbitration in respect of the disputes and differences arising out of or in connection with the Supplemental GOM Support Agreement.  This Notice of Arbitration raises the same issues as are raised in the Notice of Arbitration in respect of the Supplemental GOM Support Agreement.</w:t>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which have arisen between it and The State of Maharashtra, the Respondent herein, arising out of or in connection with the GOM Support Agreement (“the Dispute”) be referred to arbitration pursuant to, and in accordance with, the provisions of the arbitration agreement between the parties set out in Clauses 11.1 to 11.3 of the GOM Support Agreement and the Arbitration Rules of the United Nations Commission on International Trade Law (set out in resolution 35/52 and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in accordance with the provisions of Clause 8.2(b) of the GOM Support Agreement.</w:t>
      </w:r>
    </w:p>
    <w:p>
      <w:pPr>
        <w:pStyle w:val="Recitals"/>
        <w:numPr>
          <w:ilvl w:val="0"/>
          <w:numId w:val="3"/>
        </w:numPr>
        <w:ind w:hanging="0" w:start="0"/>
        <w:rPr/>
      </w:pPr>
      <w:r>
        <w:rPr>
          <w:u w:val="single"/>
        </w:rPr>
        <w:t>Arbitration Agreement Invoked</w:t>
      </w:r>
    </w:p>
    <w:p>
      <w:pPr>
        <w:pStyle w:val="1LevelPara"/>
        <w:numPr>
          <w:ilvl w:val="0"/>
          <w:numId w:val="18"/>
        </w:numPr>
        <w:ind w:hanging="0" w:start="0" w:end="0"/>
        <w:rPr/>
      </w:pPr>
      <w:r>
        <w:rPr/>
        <w:t>The arbitration agreement which is invoked by the Claimant is contained in Clauses 11.1 to 11.3 of the GOM Support Agreement, the text of which is set out in the Annexure to this Notice of Arbitration.  The parties’ arbitration agreement provides that any reference to arbitration begun pursuant thereto shall be held in London and shall be conducted in accordance with the UNCITRAL Arbitration Rules and English law (as the procedural law of the reference to arbitration).  The parties’ arbitration agreement further provides, pursuant to Clause 11.2, that no arbitrator shall be a national of India or the United States of America, and, pursuant to Clause 11.3, that the arbitration shall be conducted in the English language.</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 xml:space="preserve">The contract out of or in connection with which the Dispute has arisen is the GOM Support Agreement. </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The Claimant sets out below the general nature of its claim in respect of the Dispute, indicates the amount involved in the claim and describes the relief or remedy sought by it. The claim and the relief or remedy sought by the Claimant will be particularised in due course in the Statement of Claim herein served in accordance with Article 18 of the UNCITRAL Arbitration Rules. </w:t>
      </w:r>
    </w:p>
    <w:p>
      <w:pPr>
        <w:pStyle w:val="Recitals"/>
        <w:numPr>
          <w:ilvl w:val="0"/>
          <w:numId w:val="0"/>
        </w:numPr>
        <w:ind w:firstLine="720" w:start="-720" w:end="0"/>
        <w:rPr/>
      </w:pPr>
      <w:r>
        <w:rPr>
          <w:b w:val="false"/>
        </w:rPr>
        <w:t>(1)</w:t>
        <w:tab/>
      </w:r>
      <w:r>
        <w:rPr>
          <w:b w:val="false"/>
          <w:u w:val="single"/>
        </w:rPr>
        <w:t>Material Provisions of the GOM Support Agreement</w:t>
      </w:r>
    </w:p>
    <w:p>
      <w:pPr>
        <w:pStyle w:val="1LevelPara"/>
        <w:numPr>
          <w:ilvl w:val="0"/>
          <w:numId w:val="18"/>
        </w:numPr>
        <w:ind w:hanging="0" w:start="0" w:end="0"/>
        <w:rPr/>
      </w:pPr>
      <w:r>
        <w:rPr/>
        <w:t>The provisions of the GOM Support Agreement which are most directly material to the Claimant’s claim are those set out in Clauses 3.1, 3.2, 3.3, 6.2 and 6.3.  The text of these provisions is set out in paragraph 10 below.  The Claimant reserves the right to refer in its Statement of Claim to the provisions of the GOM Support Agreement set out in paragraph 10 below for their full effect, both individually and cumulatively and/or in conjunction with, alternatively taken in the context of, the provisions of the Supplemental GOM Support Agreement.  The Claimant further reserves the right to refer in its Statement of Claim to such other of the provisions of the GOM Support Agreement and/or the Supplemental GOM Support Agreement as may be necessary or appropriate.</w:t>
      </w:r>
    </w:p>
    <w:p>
      <w:pPr>
        <w:pStyle w:val="1LevelPara"/>
        <w:numPr>
          <w:ilvl w:val="0"/>
          <w:numId w:val="18"/>
        </w:numPr>
        <w:ind w:hanging="0" w:start="0" w:end="0"/>
        <w:rPr/>
      </w:pPr>
      <w:r>
        <w:rPr/>
        <w:t>(1)</w:t>
        <w:tab/>
        <w:t>Clause 3.1:</w:t>
      </w:r>
    </w:p>
    <w:p>
      <w:pPr>
        <w:pStyle w:val="Body2"/>
        <w:tabs>
          <w:tab w:val="clear" w:pos="1247"/>
          <w:tab w:val="left" w:pos="1350" w:leader="none"/>
        </w:tabs>
        <w:spacing w:lineRule="auto" w:line="240"/>
        <w:ind w:start="1440" w:end="0"/>
        <w:rPr/>
      </w:pPr>
      <w:r>
        <w:rPr>
          <w:i/>
          <w:sz w:val="22"/>
        </w:rPr>
        <w:t>“</w:t>
      </w:r>
      <w:r>
        <w:rPr>
          <w:rFonts w:cs="Times" w:ascii="Times" w:hAnsi="Times"/>
          <w:i/>
          <w:sz w:val="22"/>
          <w:u w:val="single"/>
        </w:rPr>
        <w:t>Promotion and Support</w:t>
      </w:r>
      <w:r>
        <w:rPr>
          <w:rFonts w:cs="Times" w:ascii="Times" w:hAnsi="Times"/>
          <w:i/>
          <w:sz w:val="22"/>
        </w:rPr>
        <w:t>:  GOM shall, both prior to and subsequent to Financial Close for Phase I, support all applications made by DPC for the Specified Clearances and all Clearances required in relation to Phase II so as to expedite the consideration thereof by any Competent Authority and, upon due and timely application therefor being made by DPC, take all steps within its power to see that they are granted, if such grant is permissible under the law.”</w:t>
      </w:r>
    </w:p>
    <w:p>
      <w:pPr>
        <w:pStyle w:val="Body1"/>
        <w:ind w:firstLine="153" w:end="0"/>
        <w:rPr>
          <w:rFonts w:ascii="Times" w:hAnsi="Times" w:cs="Times"/>
          <w:sz w:val="22"/>
        </w:rPr>
      </w:pPr>
      <w:r>
        <w:rPr>
          <w:rFonts w:cs="Times" w:ascii="Times" w:hAnsi="Times"/>
          <w:sz w:val="22"/>
        </w:rPr>
        <w:t>(2)</w:t>
        <w:tab/>
        <w:t>Clause 3.2:</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Additional Clearances</w:t>
      </w:r>
      <w:r>
        <w:rPr>
          <w:rFonts w:cs="Times" w:ascii="Times" w:hAnsi="Times"/>
          <w:i/>
          <w:sz w:val="22"/>
        </w:rPr>
        <w:t>:  If it is discovered that any Clearance is required from any Competent Authority under the laws of India for DPC, the Lenders, the Participants or the Contractor with respect to Phase I other than the Specified Clearances, GOM shall expedite the consideration thereof by any Competent Authority and, upon due and timely application therefor being made by DPC, take all steps within its power to see that it is granted, if such grant is permissible under the law.”</w:t>
      </w:r>
    </w:p>
    <w:p>
      <w:pPr>
        <w:pStyle w:val="Body1"/>
        <w:ind w:firstLine="153" w:end="0"/>
        <w:rPr>
          <w:rFonts w:ascii="Times" w:hAnsi="Times" w:cs="Times"/>
          <w:sz w:val="22"/>
        </w:rPr>
      </w:pPr>
      <w:r>
        <w:rPr>
          <w:rFonts w:cs="Times" w:ascii="Times" w:hAnsi="Times"/>
          <w:sz w:val="22"/>
        </w:rPr>
        <w:t>(3)</w:t>
        <w:tab/>
        <w:t>Clause 3.3:</w:t>
      </w:r>
    </w:p>
    <w:p>
      <w:pPr>
        <w:pStyle w:val="Body2"/>
        <w:tabs>
          <w:tab w:val="clear" w:pos="1247"/>
          <w:tab w:val="left" w:pos="1350" w:leader="none"/>
        </w:tabs>
        <w:ind w:start="1440" w:end="0"/>
        <w:rPr>
          <w:rFonts w:ascii="Times" w:hAnsi="Times" w:cs="Times"/>
          <w:i/>
          <w:i/>
          <w:sz w:val="22"/>
        </w:rPr>
      </w:pPr>
      <w:r>
        <w:rPr>
          <w:rFonts w:cs="Times" w:ascii="Times" w:hAnsi="Times"/>
          <w:i/>
          <w:sz w:val="22"/>
        </w:rPr>
        <w:t>“</w:t>
      </w:r>
      <w:r>
        <w:rPr>
          <w:rFonts w:cs="Times" w:ascii="Times" w:hAnsi="Times"/>
          <w:i/>
          <w:sz w:val="22"/>
          <w:u w:val="single"/>
        </w:rPr>
        <w:t>Conditional Clearances</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(a)</w:t>
        <w:tab/>
        <w:t>GOM shall not attach, and shall take all steps within its power to see that no Competent Authority attaches, to any Clearance upon or subsequent to its grant any terms or conditions (other than those terms and conditions which GOM or the Competent Authority is obliged, under the relevant statute, to attach to all such Clearances) which materially and adversely affect the interests of DPC, the Lenders, the Participants or the Contractor.</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(b)</w:t>
        <w:tab/>
        <w:t>If DPC is required to make a renewal application for a Clearance, the provisions of clause 3.3(a) shall apply in respect of the terms and conditions attached to the renewed Clearance as they apply to the terms and conditions of the Clearance which it replaces.”</w:t>
      </w:r>
    </w:p>
    <w:p>
      <w:pPr>
        <w:pStyle w:val="Body1"/>
        <w:ind w:firstLine="153" w:end="0"/>
        <w:rPr>
          <w:rFonts w:ascii="Times" w:hAnsi="Times" w:cs="Times"/>
          <w:sz w:val="22"/>
        </w:rPr>
      </w:pPr>
      <w:r>
        <w:rPr>
          <w:rFonts w:cs="Times" w:ascii="Times" w:hAnsi="Times"/>
          <w:sz w:val="22"/>
        </w:rPr>
        <w:t>(4)</w:t>
        <w:tab/>
        <w:t>Clause 6.2:</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Discriminatory Action</w:t>
      </w:r>
      <w:r>
        <w:rPr>
          <w:rFonts w:cs="Times" w:ascii="Times" w:hAnsi="Times"/>
          <w:i/>
          <w:sz w:val="22"/>
        </w:rPr>
        <w:t>:  GOM shall not take, and shall take all steps within its power to see that no Competent Authority takes, any action or combination of actions the effect of which is discriminatory and which treats DPC less favourably in any material respect than any other private sector power station operator in Maharashtra.”</w:t>
      </w:r>
    </w:p>
    <w:p>
      <w:pPr>
        <w:pStyle w:val="Body1"/>
        <w:ind w:firstLine="153" w:end="0"/>
        <w:rPr>
          <w:rFonts w:ascii="Times" w:hAnsi="Times" w:cs="Times"/>
          <w:sz w:val="22"/>
        </w:rPr>
      </w:pPr>
      <w:r>
        <w:rPr>
          <w:rFonts w:cs="Times" w:ascii="Times" w:hAnsi="Times"/>
          <w:sz w:val="22"/>
        </w:rPr>
        <w:t>(5)</w:t>
        <w:tab/>
        <w:t>Clause 6.3:</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Action leading to Termination of the Power Purchase Agreement</w:t>
      </w:r>
      <w:r>
        <w:rPr>
          <w:rFonts w:cs="Times" w:ascii="Times" w:hAnsi="Times"/>
          <w:i/>
          <w:sz w:val="22"/>
        </w:rPr>
        <w:t>:  GOM shall not take, and shall take all steps within its power to see that no Competent Authority takes, any action which is capable of giving rise to or constituting any of those grounds set out in Clause 17.4 of the Power Purchase Agreement which are based on or relate to any default or action by GOM or by a Competent Authority respectively and which would give DPC the right to terminate the Power Purchase Agreement pursuant to that Clause.”</w:t>
      </w:r>
    </w:p>
    <w:p>
      <w:pPr>
        <w:pStyle w:val="Recitals"/>
        <w:numPr>
          <w:ilvl w:val="0"/>
          <w:numId w:val="0"/>
        </w:numPr>
        <w:ind w:hanging="720" w:start="720" w:end="0"/>
        <w:rPr>
          <w:b w:val="false"/>
        </w:rPr>
      </w:pPr>
      <w:r>
        <w:rPr>
          <w:b w:val="false"/>
        </w:rPr>
        <w:t>(2)</w:t>
        <w:tab/>
      </w:r>
      <w:r>
        <w:rPr>
          <w:b w:val="false"/>
          <w:u w:val="single"/>
        </w:rPr>
        <w:t>Facts and Circumstances Constituting the Background to the Dispute and to the Claim</w:t>
      </w:r>
    </w:p>
    <w:p>
      <w:pPr>
        <w:pStyle w:val="Recitals"/>
        <w:numPr>
          <w:ilvl w:val="0"/>
          <w:numId w:val="0"/>
        </w:numPr>
        <w:ind w:firstLine="720" w:start="-720" w:end="0"/>
        <w:rPr>
          <w:b w:val="false"/>
        </w:rPr>
      </w:pPr>
      <w:r>
        <w:rPr>
          <w:b w:val="false"/>
        </w:rPr>
        <w:t>(a)</w:t>
        <w:tab/>
      </w:r>
      <w:r>
        <w:rPr>
          <w:b w:val="false"/>
          <w:u w:val="single"/>
        </w:rPr>
        <w:t>Breach of the GOM Obligation to Support the Project</w:t>
      </w:r>
    </w:p>
    <w:p>
      <w:pPr>
        <w:pStyle w:val="1LevelPara"/>
        <w:numPr>
          <w:ilvl w:val="0"/>
          <w:numId w:val="18"/>
        </w:numPr>
        <w:ind w:hanging="1440" w:start="1440" w:end="0"/>
        <w:rPr/>
      </w:pPr>
      <w:r>
        <w:rPr/>
        <w:t>(1)</w:t>
        <w:tab/>
        <w:t>(a)</w:t>
        <w:tab/>
        <w:t>In terms of the GOM Support Agreement and the Supplemental GOM Support Agreement, including (</w:t>
      </w:r>
      <w:r>
        <w:rPr>
          <w:i/>
        </w:rPr>
        <w:t>inter alia</w:t>
      </w:r>
      <w:r>
        <w:rPr/>
        <w:t>) Clause 2 of the Supplemental GOM Support Agreement, the Respondent bound itself to support the development of the Project (including, in particular, Phase II of the Project), to perform properly the obligations owed by it to the Claimant under (</w:t>
      </w:r>
      <w:r>
        <w:rPr>
          <w:i/>
        </w:rPr>
        <w:t>inter alia</w:t>
      </w:r>
      <w:r>
        <w:rPr/>
        <w:t>) the GOM Guarantee and to ensure the proper performance by the MSEB of the obligations owed by it to the Claimant under the PPA.</w:t>
      </w:r>
    </w:p>
    <w:p>
      <w:pPr>
        <w:pStyle w:val="1LevelPara"/>
        <w:numPr>
          <w:ilvl w:val="0"/>
          <w:numId w:val="0"/>
        </w:numPr>
        <w:ind w:hanging="0" w:start="1440" w:end="0"/>
        <w:rPr/>
      </w:pPr>
      <w:r>
        <w:rPr/>
        <w:t>(b)</w:t>
        <w:tab/>
        <w:t>On or about 2</w:t>
      </w:r>
      <w:r>
        <w:rPr>
          <w:vertAlign w:val="superscript"/>
        </w:rPr>
        <w:t>nd</w:t>
      </w:r>
      <w:r>
        <w:rPr/>
        <w:t xml:space="preserve"> August 1995, the (then) executive government of the Respondent purported to cancel the Project and took other actions which were inconsistent with the obligations owed by it to the Claimant (</w:t>
      </w:r>
      <w:r>
        <w:rPr>
          <w:i/>
        </w:rPr>
        <w:t>inter alia</w:t>
      </w:r>
      <w:r>
        <w:rPr/>
        <w:t>) under the GOM Support Agreement and the GOM Guarantee. In consequence, the construction of Phase I of the Project was suspended and the Lenders to the Claimant ceased to extend credit to the Claimant. By two Notices of Arbitration dated 4</w:t>
      </w:r>
      <w:r>
        <w:rPr>
          <w:vertAlign w:val="superscript"/>
        </w:rPr>
        <w:t>th</w:t>
      </w:r>
      <w:r>
        <w:rPr/>
        <w:t xml:space="preserve"> August 1995 and 14</w:t>
      </w:r>
      <w:r>
        <w:rPr>
          <w:vertAlign w:val="superscript"/>
        </w:rPr>
        <w:t>th</w:t>
      </w:r>
      <w:r>
        <w:rPr/>
        <w:t xml:space="preserve"> August 1995, respectively, the Claimant commenced arbitral proceedings against the Respondent pursuant to the provisions of the GOM Support Agreement and the GOM Guarantee.  Those arbitral proceedings were terminated by means of a Final Consent Award made on 17</w:t>
      </w:r>
      <w:r>
        <w:rPr>
          <w:vertAlign w:val="superscript"/>
        </w:rPr>
        <w:t>th</w:t>
      </w:r>
      <w:r>
        <w:rPr/>
        <w:t xml:space="preserve"> December 1996.</w:t>
      </w:r>
    </w:p>
    <w:p>
      <w:pPr>
        <w:pStyle w:val="1LevelPara"/>
        <w:numPr>
          <w:ilvl w:val="0"/>
          <w:numId w:val="0"/>
        </w:numPr>
        <w:spacing w:before="240" w:after="140"/>
        <w:ind w:hanging="0" w:start="1440" w:end="0"/>
        <w:rPr/>
      </w:pPr>
      <w:r>
        <w:rPr/>
        <w:t>(c)</w:t>
        <w:tab/>
        <w:t xml:space="preserve">The Supplemental GOM Support Agreement was entered into by the Respondent following upon a decision of the executive government of the Respondent that the Project be re-instated and that the construction of Phase I of the Project be re-commenced on revised commercial terms. </w:t>
      </w:r>
    </w:p>
    <w:p>
      <w:pPr>
        <w:pStyle w:val="1LevelPara"/>
        <w:numPr>
          <w:ilvl w:val="0"/>
          <w:numId w:val="0"/>
        </w:numPr>
        <w:spacing w:before="240" w:after="140"/>
        <w:ind w:hanging="0" w:start="1440" w:end="0"/>
        <w:rPr/>
      </w:pPr>
      <w:r>
        <w:rPr/>
        <w:t>(d)</w:t>
        <w:tab/>
        <w:t>In order to achieve the re-instatement of the Project generally and, in particular, the re-commencement of the construction of Phase I of the Project, it was necessary (</w:t>
      </w:r>
      <w:r>
        <w:rPr>
          <w:i/>
        </w:rPr>
        <w:t>inter alia</w:t>
      </w:r>
      <w:r>
        <w:rPr/>
        <w:t>) that the Lenders to the Claimant resumed extending credit to the Claimant.  That, in turn, required (</w:t>
      </w:r>
      <w:r>
        <w:rPr>
          <w:i/>
        </w:rPr>
        <w:t>inter alia</w:t>
      </w:r>
      <w:r>
        <w:rPr/>
        <w:t>) that:-</w:t>
      </w:r>
    </w:p>
    <w:p>
      <w:pPr>
        <w:pStyle w:val="1LevelPara"/>
        <w:numPr>
          <w:ilvl w:val="0"/>
          <w:numId w:val="0"/>
        </w:numPr>
        <w:ind w:hanging="0" w:start="1440" w:end="0"/>
        <w:rPr/>
      </w:pPr>
      <w:r>
        <w:rPr/>
        <w:t>(i)</w:t>
        <w:tab/>
        <w:t>the Respondent confirmed that it supported the Project generally, and, in particular, and the development of the Project, and that it promised to maintain its support for the Project and the development of the Project in the future;</w:t>
      </w:r>
    </w:p>
    <w:p>
      <w:pPr>
        <w:pStyle w:val="1LevelPara"/>
        <w:numPr>
          <w:ilvl w:val="0"/>
          <w:numId w:val="0"/>
        </w:numPr>
        <w:ind w:hanging="0" w:start="1440" w:end="0"/>
        <w:rPr/>
      </w:pPr>
      <w:r>
        <w:rPr/>
        <w:t>(ii)</w:t>
        <w:tab/>
        <w:t>the Claimant and the Lenders received satisfactory assurances from the Respondent as to its compliance in the future with its obligations under the agreements relating to the Project to which it was a party, and as to the enforceability of the Lenders’ security over, and with respect to, the Project.</w:t>
      </w:r>
    </w:p>
    <w:p>
      <w:pPr>
        <w:pStyle w:val="1LevelPara"/>
        <w:numPr>
          <w:ilvl w:val="0"/>
          <w:numId w:val="0"/>
        </w:numPr>
        <w:ind w:hanging="0" w:start="1440" w:end="0"/>
        <w:rPr/>
      </w:pPr>
      <w:r>
        <w:rPr/>
        <w:t>Accordingly, the genesis and objective of the Supplemental GOM Support Agreement was to ensure that the Respondent committed itself to support the development of the Project in the light of the events which occurred.</w:t>
      </w:r>
    </w:p>
    <w:p>
      <w:pPr>
        <w:pStyle w:val="1LevelPara"/>
        <w:numPr>
          <w:ilvl w:val="0"/>
          <w:numId w:val="0"/>
        </w:numPr>
        <w:ind w:hanging="0" w:start="720" w:end="0"/>
        <w:rPr/>
      </w:pPr>
      <w:r>
        <w:rPr/>
        <w:t>(2)</w:t>
        <w:tab/>
        <w:t>Following upon a further change in the composition of the executive government of the Respondent, the Respondent has adopted and has sought to pursue a policy whose objective and/or the implementation of which policy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the Project (alternatively,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Respondent’s obligation under the GOM Support Agreement and the Supplemental GOM Support Agreement is to support the development of the Project in the form in which it presently stands, and upon the commercial terms set out (</w:t>
      </w:r>
      <w:r>
        <w:rPr>
          <w:i/>
        </w:rPr>
        <w:t>inter alia</w:t>
      </w:r>
      <w:r>
        <w:rPr/>
        <w:t>) in the PPA and the GOM Guarantee and in no other form and upon no other commercial terms. The Claimant will say that the articulation, and the implementation, of a policy, such as that set out and described in sub-paragraph 11(2) above, represent actions which are incompatible with the obligations assumed by the Respondent in terms of the GOM Support Agreement and the Supplemental GOM Support Agreement.</w:t>
      </w:r>
    </w:p>
    <w:p>
      <w:pPr>
        <w:pStyle w:val="1LevelPara"/>
        <w:numPr>
          <w:ilvl w:val="0"/>
          <w:numId w:val="0"/>
        </w:numPr>
        <w:ind w:hanging="0" w:start="720" w:end="0"/>
        <w:rPr/>
      </w:pPr>
      <w:r>
        <w:rPr/>
        <w:t>(4)</w:t>
        <w:tab/>
        <w:t>The Respondent has sought to implement its policy partly by means of its own actions and partly by means of actions which it has variously caused, encouraged, counselled or procured the MSEB and other entities (such as Competent Authorities) to take.</w:t>
      </w:r>
    </w:p>
    <w:p>
      <w:pPr>
        <w:pStyle w:val="1LevelPara"/>
        <w:numPr>
          <w:ilvl w:val="0"/>
          <w:numId w:val="0"/>
        </w:numPr>
        <w:ind w:hanging="0" w:start="720" w:end="0"/>
        <w:rPr/>
      </w:pPr>
      <w:r>
        <w:rPr/>
        <w:t>(5)</w:t>
        <w:tab/>
        <w:t>Contrary to its obligations under the GOM Support Agreement and the Supplemental GOM Support Agreement, the Respondent has directly and indirectly (by means of actions taken by the MSEB and/or Competent Authorities at its instigation) acted in a manner which is inconsistent with the obligations assumed by it thereunder. In particular (but without limitation), the actions taken by the Respondent directly and indirectly (by means of actions taken by the MSEB and/or Competent Authorities at its instigation), and statements made by Ministers and officials of the Respondent, have involved the commission of persistent, serious and deliberate breaches of (</w:t>
      </w:r>
      <w:r>
        <w:rPr>
          <w:i/>
        </w:rPr>
        <w:t>inter alia</w:t>
      </w:r>
      <w:r>
        <w:rPr/>
        <w:t>) the Respondent’s obligation to lend support to the development of the Project.</w:t>
      </w:r>
    </w:p>
    <w:p>
      <w:pPr>
        <w:pStyle w:val="Recitals"/>
        <w:numPr>
          <w:ilvl w:val="0"/>
          <w:numId w:val="0"/>
        </w:numPr>
        <w:ind w:firstLine="720" w:start="-720" w:end="0"/>
        <w:rPr>
          <w:b w:val="false"/>
        </w:rPr>
      </w:pPr>
      <w:r>
        <w:rPr>
          <w:b w:val="false"/>
        </w:rPr>
        <w:t>(b)</w:t>
        <w:tab/>
      </w:r>
      <w:r>
        <w:rPr>
          <w:b w:val="false"/>
          <w:u w:val="single"/>
        </w:rPr>
        <w:t>Public Statements by Ministers and Officials of the GOM</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The Claimant will refer to and rely upon (</w:t>
      </w:r>
      <w:r>
        <w:rPr>
          <w:i/>
        </w:rPr>
        <w:t>inter alia</w:t>
      </w:r>
      <w:r>
        <w:rPr/>
        <w:t>) the facts, matters and statements of the Ministers and officials of the Respondent set out in the newspaper articles referred to in the Schedule hereto.</w:t>
      </w:r>
    </w:p>
    <w:p>
      <w:pPr>
        <w:pStyle w:val="1LevelPara"/>
        <w:numPr>
          <w:ilvl w:val="0"/>
          <w:numId w:val="0"/>
        </w:numPr>
        <w:ind w:hanging="0" w:start="720" w:end="0"/>
        <w:rPr/>
      </w:pPr>
      <w:r>
        <w:rPr/>
        <w:t>(2)</w:t>
        <w:tab/>
        <w:t>On 27</w:t>
      </w:r>
      <w:r>
        <w:rPr>
          <w:vertAlign w:val="superscript"/>
        </w:rPr>
        <w:t>th</w:t>
      </w:r>
      <w:r>
        <w:rPr/>
        <w:t xml:space="preserve"> March 2001 the Finance and Planning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charged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Recitals"/>
        <w:numPr>
          <w:ilvl w:val="0"/>
          <w:numId w:val="0"/>
        </w:numPr>
        <w:ind w:firstLine="720" w:start="-720" w:end="0"/>
        <w:rPr>
          <w:b w:val="false"/>
        </w:rPr>
      </w:pPr>
      <w:r>
        <w:rPr>
          <w:b w:val="false"/>
        </w:rPr>
        <w:t>(c)</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for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w:t>
      </w:r>
    </w:p>
    <w:p>
      <w:pPr>
        <w:pStyle w:val="1LevelPara"/>
        <w:numPr>
          <w:ilvl w:val="0"/>
          <w:numId w:val="0"/>
        </w:numPr>
        <w:ind w:hanging="0" w:start="720" w:end="0"/>
        <w:rPr/>
      </w:pPr>
      <w:r>
        <w:rPr/>
        <w:t>(3)</w:t>
        <w:tab/>
        <w:t>The Respondent’s Resolution dated 9</w:t>
      </w:r>
      <w:r>
        <w:rPr>
          <w:vertAlign w:val="superscript"/>
        </w:rPr>
        <w:t>th</w:t>
      </w:r>
      <w:r>
        <w:rPr/>
        <w:t xml:space="preserve"> February 2001 was amended by a further Resolution dated 9</w:t>
      </w:r>
      <w:r>
        <w:rPr>
          <w:vertAlign w:val="superscript"/>
        </w:rPr>
        <w:t>th</w:t>
      </w:r>
      <w:r>
        <w:rPr/>
        <w:t xml:space="preserve"> March 2001 (Resolution No. PSP 2001/CR 3443/NRG-2) which provided for additional terms of reference for the Energy Review Committee which included </w:t>
      </w:r>
      <w:r>
        <w:rPr>
          <w:i/>
        </w:rPr>
        <w:t>(inter alia)</w:t>
      </w:r>
      <w:r>
        <w:rPr/>
        <w:t xml:space="preserve"> the following:-</w:t>
      </w:r>
    </w:p>
    <w:p>
      <w:pPr>
        <w:pStyle w:val="1LevelPara"/>
        <w:numPr>
          <w:ilvl w:val="0"/>
          <w:numId w:val="0"/>
        </w:numPr>
        <w:spacing w:lineRule="auto" w:line="240"/>
        <w:ind w:hanging="720" w:start="1440" w:end="0"/>
        <w:rPr/>
      </w:pPr>
      <w:r>
        <w:rPr/>
        <w:tab/>
      </w:r>
      <w:r>
        <w:rPr>
          <w:i/>
        </w:rPr>
        <w:t>“3.</w:t>
        <w:tab/>
        <w:t>Evaluate and review Dabhol Power Project, review any and all of its clearances, tariff, and all aspects in the context of the relevant laws and notifications as may be applicable at any specific time …</w:t>
      </w:r>
    </w:p>
    <w:p>
      <w:pPr>
        <w:pStyle w:val="1LevelPara"/>
        <w:numPr>
          <w:ilvl w:val="0"/>
          <w:numId w:val="0"/>
        </w:numPr>
        <w:spacing w:lineRule="auto" w:line="240"/>
        <w:ind w:hanging="720" w:start="1440" w:end="0"/>
        <w:rPr>
          <w:i/>
          <w:i/>
        </w:rPr>
      </w:pPr>
      <w:r>
        <w:rPr>
          <w:i/>
        </w:rPr>
        <w:tab/>
        <w:t>5.</w:t>
        <w:tab/>
        <w:t>Negotiate with Dabhol Power Company on behalf of State Government and Maharashtra State Electricity Board for lowering the tariff, capital cost and all other aspects of Dabhol Power Project …”</w:t>
      </w:r>
    </w:p>
    <w:p>
      <w:pPr>
        <w:pStyle w:val="1LevelPara"/>
        <w:numPr>
          <w:ilvl w:val="0"/>
          <w:numId w:val="0"/>
        </w:numPr>
        <w:spacing w:before="140" w:after="140"/>
        <w:ind w:hanging="0" w:start="720" w:end="0"/>
        <w:rPr/>
      </w:pPr>
      <w:r>
        <w:rPr/>
        <w:t>The Claimant will say that, (</w:t>
      </w:r>
      <w:r>
        <w:rPr>
          <w:i/>
        </w:rPr>
        <w:t>inter alia</w:t>
      </w:r>
      <w:r>
        <w:rPr/>
        <w:t>) by paragraph 3 of the additional terms of reference, the Respondent (in terms) has invited the Energy Review Committee to examine the Clearances for the Project and the tariff under the PPA in order to ascertain whether any fault or defect might be found in the same which might supply the Respondent with justification for their revocation or modification.</w:t>
      </w:r>
    </w:p>
    <w:p>
      <w:pPr>
        <w:pStyle w:val="1LevelPara"/>
        <w:numPr>
          <w:ilvl w:val="0"/>
          <w:numId w:val="0"/>
        </w:numPr>
        <w:ind w:hanging="720" w:start="1440" w:end="0"/>
        <w:rPr/>
      </w:pPr>
      <w:r>
        <w:rPr/>
        <w:t>(4)</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other private sector power station operator in the State of Maharashtra, nor has it in fact done so.</w:t>
      </w:r>
    </w:p>
    <w:p>
      <w:pPr>
        <w:pStyle w:val="1LevelPara"/>
        <w:numPr>
          <w:ilvl w:val="0"/>
          <w:numId w:val="0"/>
        </w:numPr>
        <w:ind w:hanging="0" w:start="1440" w:end="0"/>
        <w:rPr/>
      </w:pPr>
      <w:r>
        <w:rPr/>
        <w:t>(c)</w:t>
        <w:tab/>
        <w:t xml:space="preserve">The Claimant will say that the Energy Review Committee was set up by the Respondent in order to provide the executive government of the Respondent with superficially colourable grounds with which to seek to re-negotiate the terms of the PPA (in order to achieve the </w:t>
      </w:r>
      <w:r>
        <w:rPr>
          <w:i/>
        </w:rPr>
        <w:t>a priori</w:t>
      </w:r>
      <w:r>
        <w:rPr/>
        <w:t xml:space="preserve"> determined objective of the Respondent’s policy), and, accordingly, to do precisely the opposite of that which the Respondent had bound itself to do under the GOM Support Agreement and the Supplemental GOM Support Agreement (namely, to support the development of the Project and to ensure the proper performance by it and by the MSEB of their respective obligations under the GOM Guarantee and the PPA).</w:t>
      </w:r>
    </w:p>
    <w:p>
      <w:pPr>
        <w:pStyle w:val="Recitals"/>
        <w:numPr>
          <w:ilvl w:val="0"/>
          <w:numId w:val="0"/>
        </w:numPr>
        <w:ind w:firstLine="720" w:start="-720" w:end="0"/>
        <w:rPr>
          <w:b w:val="false"/>
        </w:rPr>
      </w:pPr>
      <w:r>
        <w:rPr>
          <w:b w:val="false"/>
        </w:rPr>
        <w:t>(d)</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or about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Guarantee.  On each such occasion the Respondent has failed to pay to the Claimant the sums which it was obliged to pay to the Claimant in pursuance of the GOM Guarantee. The first occasion upon which the Respondent defaulted upon its obligations under the GOM Guarantee was on or about 1</w:t>
      </w:r>
      <w:r>
        <w:rPr>
          <w:vertAlign w:val="superscript"/>
        </w:rPr>
        <w:t>st</w:t>
      </w:r>
      <w:r>
        <w:rPr/>
        <w:t xml:space="preserve"> February 2001.</w:t>
      </w:r>
    </w:p>
    <w:p>
      <w:pPr>
        <w:pStyle w:val="1LevelPara"/>
        <w:numPr>
          <w:ilvl w:val="0"/>
          <w:numId w:val="0"/>
        </w:numPr>
        <w:ind w:hanging="0" w:start="720" w:end="0"/>
        <w:rPr/>
      </w:pPr>
      <w:r>
        <w:rPr/>
        <w:t>(3)</w:t>
        <w:tab/>
        <w:t>On 5</w:t>
      </w:r>
      <w:r>
        <w:rPr>
          <w:vertAlign w:val="superscript"/>
        </w:rPr>
        <w:t>th</w:t>
      </w:r>
      <w:r>
        <w:rPr/>
        <w:t xml:space="preserve"> February 2001, the Finance and Planning Minister of the Respondent, Mr Jayant Rajaram Patil made a statement to a reporter of “The Economic Times” commenting upon the decision of a credit-rating agency to downgrade the credit-rating of the Respondent following upon the Respondent’s default and failure, to honour the first of the demands made of it by the Claimant under the GOM Guarantee on 25</w:t>
      </w:r>
      <w:r>
        <w:rPr>
          <w:vertAlign w:val="superscript"/>
        </w:rPr>
        <w:t>th</w:t>
      </w:r>
      <w:r>
        <w:rPr/>
        <w:t xml:space="preserve"> January 2001. He stated that:-</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we have refused to honour our contractual obligations by choice. It is our strategic decision not to pay Enron as we want to scrap the power purchase agreement the state has with the company … Our decision not to pay Enron has nothing to do with the state’s finances.”</w:t>
      </w:r>
    </w:p>
    <w:p>
      <w:pPr>
        <w:pStyle w:val="1LevelPara"/>
        <w:numPr>
          <w:ilvl w:val="0"/>
          <w:numId w:val="0"/>
        </w:numPr>
        <w:ind w:hanging="0" w:start="720" w:end="0"/>
        <w:rPr/>
      </w:pPr>
      <w:r>
        <w:rPr/>
        <w:t>(4)</w:t>
        <w:tab/>
        <w:t>Likewise, on or about 6</w:t>
      </w:r>
      <w:r>
        <w:rPr>
          <w:vertAlign w:val="superscript"/>
        </w:rPr>
        <w:t>th</w:t>
      </w:r>
      <w:r>
        <w:rPr/>
        <w:t xml:space="preserve"> February 2001, the Finance and Planning Minister of the Respondent made a statement to a reporter of the “Business Standard” as follows:-</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The non-payment of dues by the state government was necessitated by the contractual disagreement that arose and not because the government was unable to afford making payments. … This does not mean that the state is not able to fulfil its financial commitments. …</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Recitals"/>
        <w:numPr>
          <w:ilvl w:val="0"/>
          <w:numId w:val="0"/>
        </w:numPr>
        <w:ind w:firstLine="720" w:start="-720" w:end="0"/>
        <w:rPr>
          <w:b w:val="false"/>
        </w:rPr>
      </w:pPr>
      <w:r>
        <w:rPr>
          <w:b w:val="false"/>
        </w:rPr>
        <w:t>(e)</w:t>
        <w:tab/>
      </w:r>
      <w:r>
        <w:rPr>
          <w:b w:val="false"/>
          <w:u w:val="single"/>
        </w:rPr>
        <w:t>Procurement of Breach of the GOI Guarantee</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a Guarantee given by The Union of India in favour of the Claimant on 15</w:t>
      </w:r>
      <w:r>
        <w:rPr>
          <w:vertAlign w:val="superscript"/>
        </w:rPr>
        <w:t>th</w:t>
      </w:r>
      <w:r>
        <w:rPr/>
        <w:t xml:space="preserve"> September 1994 (“the GOI Guarantee”)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on the due date for payment)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 (but which the Respondent had failed to pay to the Claimant on the due date for payment).</w:t>
      </w:r>
    </w:p>
    <w:p>
      <w:pPr>
        <w:pStyle w:val="1LevelPara"/>
        <w:numPr>
          <w:ilvl w:val="0"/>
          <w:numId w:val="0"/>
        </w:numPr>
        <w:ind w:hanging="0" w:start="720" w:end="0"/>
        <w:rPr/>
      </w:pPr>
      <w:r>
        <w:rPr/>
        <w:t>(2)</w:t>
        <w:tab/>
        <w:t>By a letter dated 31</w:t>
      </w:r>
      <w:r>
        <w:rPr>
          <w:vertAlign w:val="superscript"/>
        </w:rPr>
        <w:t>st</w:t>
      </w:r>
      <w:r>
        <w:rPr/>
        <w:t xml:space="preserve"> March 2001 the GOI wrongfully refused to pay the sum of Rs. 1,020,000,000.00 due to the Claimant under the GOI Guarantee. In paragraph 5 of that letter the GOI referred to a letter having been received by it from the Respondent dated 15</w:t>
      </w:r>
      <w:r>
        <w:rPr>
          <w:vertAlign w:val="superscript"/>
        </w:rPr>
        <w:t>th</w:t>
      </w:r>
      <w:r>
        <w:rPr/>
        <w:t xml:space="preserve"> March 2001 requesting, requiring, encouraging, counselling and (in the event) procuring that the GOI not make any payment to the Claimant in response to the demand made by the Claimant under the GOI Guarantee. That action was taken in furtherance or implementation of the policy of the Respondent described in sub-paragraph 11(3) above.</w:t>
      </w:r>
    </w:p>
    <w:p>
      <w:pPr>
        <w:pStyle w:val="Recitals"/>
        <w:numPr>
          <w:ilvl w:val="0"/>
          <w:numId w:val="0"/>
        </w:numPr>
        <w:ind w:firstLine="720" w:start="-720" w:end="0"/>
        <w:rPr>
          <w:b w:val="false"/>
        </w:rPr>
      </w:pPr>
      <w:r>
        <w:rPr>
          <w:b w:val="false"/>
        </w:rPr>
        <w:t>(f)</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finance to it. When and where it chooses to do so, the Respondent controls and directs the policies and actions of the MSEB. </w:t>
      </w:r>
    </w:p>
    <w:p>
      <w:pPr>
        <w:pStyle w:val="1LevelPara"/>
        <w:numPr>
          <w:ilvl w:val="0"/>
          <w:numId w:val="0"/>
        </w:numPr>
        <w:ind w:hanging="0" w:start="720" w:end="0"/>
        <w:rPr/>
      </w:pPr>
      <w:r>
        <w:rPr/>
        <w:t>(2)</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For a number of months the MSEB has persistently failed to pay to the Claimant all such sums as have become due to it under the PPA punctually or (in certain cases) at all.</w:t>
      </w:r>
    </w:p>
    <w:p>
      <w:pPr>
        <w:pStyle w:val="1LevelPara"/>
        <w:numPr>
          <w:ilvl w:val="0"/>
          <w:numId w:val="0"/>
        </w:numPr>
        <w:ind w:hanging="0" w:start="720" w:end="0"/>
        <w:rPr/>
      </w:pPr>
      <w:r>
        <w:rPr/>
        <w:t>(3)</w:t>
        <w:tab/>
        <w:t>Further, since 28</w:t>
      </w:r>
      <w:r>
        <w:rPr>
          <w:vertAlign w:val="superscript"/>
        </w:rPr>
        <w:t>th</w:t>
      </w:r>
      <w:r>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the manner in which the MSEB has given its Despatch Instructions demonstrate that they were not given for </w:t>
      </w:r>
      <w:r>
        <w:rPr>
          <w:i/>
        </w:rPr>
        <w:t xml:space="preserve">bona fide </w:t>
      </w:r>
      <w:r>
        <w:rPr/>
        <w:t>operational reasons.  The MSEB’s practices of giving such Despatch Instructions forms a part of its pattern of the misperformance by it of the obligations which it owes to the Claimant under the PPA.</w:t>
      </w:r>
    </w:p>
    <w:p>
      <w:pPr>
        <w:pStyle w:val="1LevelPara"/>
        <w:numPr>
          <w:ilvl w:val="0"/>
          <w:numId w:val="0"/>
        </w:numPr>
        <w:ind w:hanging="0" w:start="720" w:end="0"/>
        <w:rPr/>
      </w:pPr>
      <w:r>
        <w:rPr/>
        <w:t>(4)</w:t>
        <w:tab/>
        <w:t>The Respondent has sought to procure, cause or require the MSEB to fail to comply, alternatively to fail to comply punctually, with the obligations owed by the MSEB to the Claimant under the PPA in pursuance of the policy referred to and described in sub-paragraph 11(3) above. Alternatively, the actions set out or referred to in sub-paragraph 16(2) and 16(3) above have been taken by the MSEB as part of a joint design with the Respondent (whose objective is the furtherance of the policy described in sub-paragraph 11(3) above) and/or with the Respondent’s prior knowledge, its consent and its concurrence.</w:t>
      </w:r>
    </w:p>
    <w:p>
      <w:pPr>
        <w:pStyle w:val="Recitals"/>
        <w:numPr>
          <w:ilvl w:val="0"/>
          <w:numId w:val="0"/>
        </w:numPr>
        <w:ind w:firstLine="720" w:start="-720" w:end="0"/>
        <w:rPr>
          <w:b w:val="false"/>
        </w:rPr>
      </w:pPr>
      <w:r>
        <w:rPr>
          <w:b w:val="false"/>
        </w:rPr>
        <w:t>(g)</w:t>
        <w:tab/>
      </w:r>
      <w:r>
        <w:rPr>
          <w:b w:val="false"/>
          <w:u w:val="single"/>
        </w:rPr>
        <w:t>Delay or Refusal to Grant Clearances</w:t>
      </w:r>
    </w:p>
    <w:p>
      <w:pPr>
        <w:pStyle w:val="1LevelPara"/>
        <w:numPr>
          <w:ilvl w:val="0"/>
          <w:numId w:val="18"/>
        </w:numPr>
        <w:ind w:hanging="0" w:start="0"/>
        <w:rPr/>
      </w:pPr>
      <w:r>
        <w:rPr/>
        <w:t>(1)</w:t>
        <w:tab/>
        <w:t>In order to be entitled to operate the Power Station the Claimant requires to hold a consent to operate the Power Station issued by the Maharashtra Pollution Control Board (“the MPCB”), an agency of the Respondent constituted under section 4 of the Water (Prevention and Control of Pollution) Act 1974.  The MPCB is a Competent Authority.</w:t>
      </w:r>
    </w:p>
    <w:p>
      <w:pPr>
        <w:pStyle w:val="1LevelPara"/>
        <w:numPr>
          <w:ilvl w:val="0"/>
          <w:numId w:val="0"/>
        </w:numPr>
        <w:ind w:hanging="720" w:start="1440" w:end="0"/>
        <w:rPr/>
      </w:pPr>
      <w:r>
        <w:rPr/>
        <w:t>(2)</w:t>
        <w:tab/>
        <w:t>(a)</w:t>
        <w:tab/>
        <w:t>The Claimant applied to the MPCB for a clearance, namely, a consent to operate the Power Station, and was granted a consent to operate on 20</w:t>
      </w:r>
      <w:r>
        <w:rPr>
          <w:vertAlign w:val="superscript"/>
        </w:rPr>
        <w:t>th</w:t>
      </w:r>
      <w:r>
        <w:rPr/>
        <w:t xml:space="preserve"> May 1999. The Claimant’s consent to operate the Power Station was valid until 31</w:t>
      </w:r>
      <w:r>
        <w:rPr>
          <w:vertAlign w:val="superscript"/>
        </w:rPr>
        <w:t>st</w:t>
      </w:r>
      <w:r>
        <w:rPr/>
        <w:t xml:space="preserve"> March 2001.</w:t>
      </w:r>
    </w:p>
    <w:p>
      <w:pPr>
        <w:pStyle w:val="1LevelPara"/>
        <w:numPr>
          <w:ilvl w:val="0"/>
          <w:numId w:val="0"/>
        </w:numPr>
        <w:ind w:hanging="0" w:start="1440" w:end="0"/>
        <w:rPr/>
      </w:pPr>
      <w:r>
        <w:rPr/>
        <w:t>(b)</w:t>
        <w:tab/>
        <w:t>On or about 22</w:t>
      </w:r>
      <w:r>
        <w:rPr>
          <w:vertAlign w:val="superscript"/>
        </w:rPr>
        <w:t>nd</w:t>
      </w:r>
      <w:r>
        <w:rPr/>
        <w:t xml:space="preserve"> January 2001, the Claimant applied to the MPCB for a renewal of its consent to operate the Power Station for a further period to take effect as from 31</w:t>
      </w:r>
      <w:r>
        <w:rPr>
          <w:vertAlign w:val="superscript"/>
        </w:rPr>
        <w:t>st</w:t>
      </w:r>
      <w:r>
        <w:rPr/>
        <w:t xml:space="preserve"> March 2001.</w:t>
      </w:r>
    </w:p>
    <w:p>
      <w:pPr>
        <w:pStyle w:val="1LevelPara"/>
        <w:numPr>
          <w:ilvl w:val="0"/>
          <w:numId w:val="0"/>
        </w:numPr>
        <w:ind w:hanging="0" w:start="1440" w:end="0"/>
        <w:rPr/>
      </w:pPr>
      <w:r>
        <w:rPr/>
        <w:t>(c)</w:t>
        <w:tab/>
        <w:t>Although numerous requests were made of it by the Claimant prior to 31</w:t>
      </w:r>
      <w:r>
        <w:rPr>
          <w:vertAlign w:val="superscript"/>
        </w:rPr>
        <w:t>st</w:t>
      </w:r>
      <w:r>
        <w:rPr/>
        <w:t xml:space="preserve"> March 2001, the MPCB has failed to renew the Claimant’s consent to operate the Power Station for a further period as requested by the Claimant. By a letter dated 31</w:t>
      </w:r>
      <w:r>
        <w:rPr>
          <w:vertAlign w:val="superscript"/>
        </w:rPr>
        <w:t>st</w:t>
      </w:r>
      <w:r>
        <w:rPr/>
        <w:t xml:space="preserve"> March 2001 the MPCB informed the Claimant that its application for a renewal of its consent to operate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20</w:t>
      </w:r>
      <w:r>
        <w:rPr>
          <w:vertAlign w:val="superscript"/>
        </w:rPr>
        <w:t>th</w:t>
      </w:r>
      <w:r>
        <w:rPr/>
        <w:t xml:space="preserve"> May 1999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the first Block of Phase II.  On 24</w:t>
      </w:r>
      <w:r>
        <w:rPr>
          <w:vertAlign w:val="superscript"/>
        </w:rPr>
        <w:t>th</w:t>
      </w:r>
      <w:r>
        <w:rPr/>
        <w:t xml:space="preserve"> November 2000, the Claimant notified the MPCB in advance of its intention to test Phase II.  On 9</w:t>
      </w:r>
      <w:r>
        <w:rPr>
          <w:vertAlign w:val="superscript"/>
        </w:rPr>
        <w:t>th</w:t>
      </w:r>
      <w:r>
        <w:rPr/>
        <w:t xml:space="preserve"> March 2001, almost four months after receiving notice from the Claimant of its intention to test Phase II, the MPCB served a notice which purported to prohibit the Claimant from testing and commissioning Phase II.  MPCB withheld its permission for such testing and commissioning until 4</w:t>
      </w:r>
      <w:r>
        <w:rPr>
          <w:vertAlign w:val="superscript"/>
        </w:rPr>
        <w:t>th</w:t>
      </w:r>
      <w:r>
        <w:rPr/>
        <w:t xml:space="preserve"> April 2001, at which time it agreed to permit testing and commissioning but only for a limited period of time and only upon compliance with numerous additional conditions not included in the Claimant’s consent to establish.  There was no legal basis for the purported prohibition of the testing and commissioning of the first Block of Phase II, nor for the additional conditions, and MPCB’s actions conflicted with the practice established by MPCB and the Claimant in relation to the testing and commissioning of Phase I.</w:t>
      </w:r>
    </w:p>
    <w:p>
      <w:pPr>
        <w:pStyle w:val="1LevelPara"/>
        <w:numPr>
          <w:ilvl w:val="0"/>
          <w:numId w:val="0"/>
        </w:numPr>
        <w:ind w:hanging="0" w:start="720" w:end="0"/>
        <w:rPr/>
      </w:pPr>
      <w:r>
        <w:rPr/>
        <w:t>(4)</w:t>
        <w:tab/>
        <w:t>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This action taken by the MPCB was wholly unnecessary and unwarranted.  The MPCB was not lawfully entitled to purport to limit the period for testing and commissioning to a period running from 4</w:t>
      </w:r>
      <w:r>
        <w:rPr>
          <w:vertAlign w:val="superscript"/>
        </w:rPr>
        <w:t>th</w:t>
      </w:r>
      <w:r>
        <w:rPr/>
        <w:t xml:space="preserve"> April 2001 to 30</w:t>
      </w:r>
      <w:r>
        <w:rPr>
          <w:vertAlign w:val="superscript"/>
        </w:rPr>
        <w:t>th</w:t>
      </w:r>
      <w:r>
        <w:rPr/>
        <w:t xml:space="preserve"> June 2001 because (</w:t>
      </w:r>
      <w:r>
        <w:rPr>
          <w:i/>
        </w:rPr>
        <w:t>inter alia</w:t>
      </w:r>
      <w:r>
        <w:rPr/>
        <w:t>) the Claimant was in any event fully entitled to conduct the testing and commissioning of Phase II of the Project under its consent to establish.</w:t>
      </w:r>
    </w:p>
    <w:p>
      <w:pPr>
        <w:pStyle w:val="1LevelPara"/>
        <w:numPr>
          <w:ilvl w:val="0"/>
          <w:numId w:val="0"/>
        </w:numPr>
        <w:ind w:hanging="0" w:start="720" w:end="0"/>
        <w:rPr/>
      </w:pPr>
      <w:r>
        <w:rPr/>
        <w:t>(5)</w:t>
        <w:tab/>
        <w:t>The Respondent has given directions to and/or has counselled and procured the MPCB, through its officers, to delay or to withhold the Clearances to which the Claimant is properly entitled and/or to purport to impose requirements for Clearances which the MPCB was not entitled in law to impose, or alternatively has counselled or procured the MPCB to like effect.</w:t>
      </w:r>
    </w:p>
    <w:p>
      <w:pPr>
        <w:pStyle w:val="1LevelPara"/>
        <w:numPr>
          <w:ilvl w:val="0"/>
          <w:numId w:val="0"/>
        </w:numPr>
        <w:ind w:hanging="0" w:start="720" w:end="0"/>
        <w:rPr/>
      </w:pPr>
      <w:r>
        <w:rPr/>
        <w:t>(6)</w:t>
        <w:tab/>
        <w:t>In public statements made on or about 11</w:t>
      </w:r>
      <w:r>
        <w:rPr>
          <w:vertAlign w:val="superscript"/>
        </w:rPr>
        <w:t>th</w:t>
      </w:r>
      <w:r>
        <w:rPr/>
        <w:t xml:space="preserve"> March 2001, the Chief Minister of the Respondent directed the MPCB to scrutinise operations at the Power Station three days after MPCB’s field representatives completed a plant inspection and circulated a report concluding that the plant was in compliance with all operating regulations.  The Chief Minister of the Respondent has no proper or lawful right to seek to direct or to influence the manner in which the MPCB discharges its statutory duties.</w:t>
      </w:r>
    </w:p>
    <w:p>
      <w:pPr>
        <w:pStyle w:val="Recitals"/>
        <w:numPr>
          <w:ilvl w:val="0"/>
          <w:numId w:val="0"/>
        </w:numPr>
        <w:ind w:firstLine="720" w:start="-720" w:end="0"/>
        <w:rPr/>
      </w:pPr>
      <w:r>
        <w:rPr>
          <w:b w:val="false"/>
        </w:rPr>
        <w:t>(3)</w:t>
        <w:tab/>
      </w:r>
      <w:r>
        <w:rPr>
          <w:b w:val="false"/>
          <w:u w:val="single"/>
        </w:rPr>
        <w:t>The General Nature of the Claim</w:t>
      </w:r>
    </w:p>
    <w:p>
      <w:pPr>
        <w:pStyle w:val="1LevelPara"/>
        <w:numPr>
          <w:ilvl w:val="0"/>
          <w:numId w:val="18"/>
        </w:numPr>
        <w:ind w:hanging="0" w:start="0" w:end="0"/>
        <w:rPr/>
      </w:pPr>
      <w:r>
        <w:rPr/>
        <w:t>The Claimant reserves the right to refer in the Statement of Claim herein to the provisions of Clauses 3.1, 3.2, 3.3, 6.2 and/or 6.3 of the GOM Support Agreement for their full effect both individually and/or cumulatively, alternatively taken in the context of the provisions of the Supplemental GOM Support Agreement.</w:t>
      </w:r>
    </w:p>
    <w:p>
      <w:pPr>
        <w:pStyle w:val="1LevelPara"/>
        <w:numPr>
          <w:ilvl w:val="0"/>
          <w:numId w:val="18"/>
        </w:numPr>
        <w:spacing w:before="240" w:after="140"/>
        <w:ind w:hanging="0" w:start="0" w:end="0"/>
        <w:rPr/>
      </w:pPr>
      <w:r>
        <w:rPr/>
        <w:t>The overall effect of the provisions of the GOM Support Agreement was to create an express and/or an implied obligation on the part of the Respondent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The provisions of the GOM Support Agreement also gave rise to individual obligations on the part of the Respondent.</w:t>
      </w:r>
    </w:p>
    <w:p>
      <w:pPr>
        <w:pStyle w:val="1LevelPara"/>
        <w:numPr>
          <w:ilvl w:val="0"/>
          <w:numId w:val="18"/>
        </w:numPr>
        <w:ind w:hanging="0" w:start="0" w:end="0"/>
        <w:rPr/>
      </w:pPr>
      <w:r>
        <w:rPr/>
        <w:t>The Respondent has breached this express and/or implied obligation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Further, it has breached the specific individual obligations created by the provisions of the GOM Support Agreement referred to and set out in paragraph 18 above.</w:t>
      </w:r>
    </w:p>
    <w:p>
      <w:pPr>
        <w:pStyle w:val="1LevelPara"/>
        <w:numPr>
          <w:ilvl w:val="0"/>
          <w:numId w:val="18"/>
        </w:numPr>
        <w:ind w:hanging="0" w:start="0" w:end="0"/>
        <w:rPr/>
      </w:pPr>
      <w:r>
        <w:rPr/>
        <w:t>The Claimant sets out in paragraphs 11 to 17 above and paragraph 22 below various instances of the above breaches.  the facts or matters set out in paragraphs 11 to 17 above and in paragraph 22 below are provided by way of example or instance only, and are not exhaustive.  Accordingly, the Claimant’s claim is not to be construed, limited or restricted by reference to such facts and matters only.  The Claimant reserves its rights to add to, to subtract from or to otherwise modify such instances and/or to refer to and to rely upon other facts or matters apart from those set out or referred to in paragraphs 11 to 17 above or in paragraph 22 below.  The Claimant further reserves its rights to refer to and to rely upon each of the instances set out in paragraphs 11 to 17 above and in paragraph 22 below, both independently and cumulatively.</w:t>
      </w:r>
    </w:p>
    <w:p>
      <w:pPr>
        <w:pStyle w:val="1LevelPara"/>
        <w:numPr>
          <w:ilvl w:val="0"/>
          <w:numId w:val="18"/>
        </w:numPr>
        <w:ind w:hanging="0" w:start="0" w:end="0"/>
        <w:rPr/>
      </w:pPr>
      <w:r>
        <w:rPr/>
        <w:t>(1)</w:t>
        <w:tab/>
        <w:t>Ministers and officials of the Respondent have made public statements which are inconsistent with the maintenance of support for the development of the Project by the Respondent.  By way of example only, on 27</w:t>
      </w:r>
      <w:r>
        <w:rPr>
          <w:vertAlign w:val="superscript"/>
        </w:rPr>
        <w:t>th</w:t>
      </w:r>
      <w:r>
        <w:rPr/>
        <w:t xml:space="preserve"> March 2001 the Finance Minister of the Respondent made a speech to the Legislative Assembly for the State of Maharashtra, referring to a special committee established by the Respondent to review the PPA and requesting the “Central Government to take over the entire project directly …”.  In the event, the Respondent has established an Energy Review Committee, the terms of reference of which require it to “… review and reconsider the provisions of the PPA…”.  The Energy Review Committee was neither invited nor required by the Respondent to review or to assess the costs or the tariff of any other private sector power station operator in the State of Maharashtra, nor has it in fact done so.</w:t>
      </w:r>
    </w:p>
    <w:p>
      <w:pPr>
        <w:pStyle w:val="Body"/>
        <w:spacing w:lineRule="auto" w:line="360"/>
        <w:ind w:firstLine="720" w:end="0"/>
        <w:rPr>
          <w:rFonts w:ascii="Times" w:hAnsi="Times" w:cs="Times"/>
          <w:sz w:val="22"/>
        </w:rPr>
      </w:pPr>
      <w:r>
        <w:rPr>
          <w:rFonts w:cs="Times" w:ascii="Times" w:hAnsi="Times"/>
          <w:sz w:val="22"/>
        </w:rPr>
        <w:t>(2)</w:t>
        <w:tab/>
        <w:t xml:space="preserve">The Respondent has failed to perform its obligations under the GOM Guarantee: </w:t>
      </w:r>
    </w:p>
    <w:p>
      <w:pPr>
        <w:pStyle w:val="Body"/>
        <w:spacing w:lineRule="auto" w:line="360"/>
        <w:ind w:start="1440" w:end="0"/>
        <w:rPr>
          <w:rFonts w:ascii="Times" w:hAnsi="Times" w:cs="Times"/>
          <w:sz w:val="22"/>
        </w:rPr>
      </w:pPr>
      <w:r>
        <w:rPr>
          <w:rFonts w:cs="Times" w:ascii="Times" w:hAnsi="Times"/>
          <w:sz w:val="22"/>
        </w:rPr>
        <w:t>(a)</w:t>
        <w:tab/>
        <w:t>on four occasions since 1st February 2001 it has failed to satisfy demands made of it by the Claimant under the GOM Guarantee;</w:t>
      </w:r>
    </w:p>
    <w:p>
      <w:pPr>
        <w:pStyle w:val="Body"/>
        <w:spacing w:lineRule="auto" w:line="360"/>
        <w:ind w:hanging="720" w:start="1440" w:end="0"/>
        <w:rPr/>
      </w:pPr>
      <w:r>
        <w:rPr>
          <w:rFonts w:cs="Times" w:ascii="Times" w:hAnsi="Times"/>
          <w:sz w:val="22"/>
        </w:rPr>
        <w:tab/>
        <w:t>(b)</w:t>
        <w:tab/>
        <w:t>on 5</w:t>
      </w:r>
      <w:r>
        <w:rPr>
          <w:rFonts w:cs="Times" w:ascii="Times" w:hAnsi="Times"/>
          <w:sz w:val="22"/>
          <w:vertAlign w:val="superscript"/>
        </w:rPr>
        <w:t>th</w:t>
      </w:r>
      <w:r>
        <w:rPr>
          <w:rFonts w:cs="Times" w:ascii="Times" w:hAnsi="Times"/>
          <w:sz w:val="22"/>
        </w:rPr>
        <w:t xml:space="preserve"> February 2001, the Finance and Planning Minister of the Respondent stated that such demands had not been honoured by way of a “strategic decision” on the basis that the Respondent wished “to scrap the power purchase agreement”.</w:t>
      </w:r>
    </w:p>
    <w:p>
      <w:pPr>
        <w:pStyle w:val="Body"/>
        <w:spacing w:lineRule="auto" w:line="360"/>
        <w:ind w:firstLine="720" w:end="0"/>
        <w:rPr/>
      </w:pPr>
      <w:r>
        <w:rPr>
          <w:rFonts w:cs="Times" w:ascii="Times" w:hAnsi="Times"/>
          <w:sz w:val="22"/>
        </w:rPr>
        <w:t>(3)</w:t>
        <w:tab/>
        <w:t>The Respondent has acted in such a way as to procure the breach of the GOI Guarantee.  By a letter dated 7</w:t>
      </w:r>
      <w:r>
        <w:rPr>
          <w:rFonts w:cs="Times" w:ascii="Times" w:hAnsi="Times"/>
          <w:sz w:val="22"/>
          <w:vertAlign w:val="superscript"/>
        </w:rPr>
        <w:t>th</w:t>
      </w:r>
      <w:r>
        <w:rPr>
          <w:rFonts w:cs="Times" w:ascii="Times" w:hAnsi="Times"/>
          <w:sz w:val="22"/>
        </w:rPr>
        <w:t xml:space="preserve"> March 2001, the Claimant made demand upon the GOI pursuant to the provisions of the GOI Guarantee.  By a letter dated 31</w:t>
      </w:r>
      <w:r>
        <w:rPr>
          <w:rFonts w:cs="Times" w:ascii="Times" w:hAnsi="Times"/>
          <w:sz w:val="22"/>
          <w:vertAlign w:val="superscript"/>
        </w:rPr>
        <w:t>st</w:t>
      </w:r>
      <w:r>
        <w:rPr>
          <w:rFonts w:cs="Times" w:ascii="Times" w:hAnsi="Times"/>
          <w:sz w:val="22"/>
        </w:rPr>
        <w:t xml:space="preserve"> March 2001 the GOI wrongfully refused to pay under the GOI Guarantee.  In paragraph 5 of that letter the GOI referred to a letter having been received by it from the Respondent dated 15</w:t>
      </w:r>
      <w:r>
        <w:rPr>
          <w:rFonts w:cs="Times" w:ascii="Times" w:hAnsi="Times"/>
          <w:sz w:val="22"/>
          <w:vertAlign w:val="superscript"/>
        </w:rPr>
        <w:t>th</w:t>
      </w:r>
      <w:r>
        <w:rPr>
          <w:rFonts w:cs="Times" w:ascii="Times" w:hAnsi="Times"/>
          <w:sz w:val="22"/>
        </w:rPr>
        <w:t xml:space="preserve"> March 2001 requesting, requiring, encouraging, counselling and (in the event) procuring that the GOI not make any payment to the Claimant.</w:t>
      </w:r>
    </w:p>
    <w:p>
      <w:pPr>
        <w:pStyle w:val="Body"/>
        <w:spacing w:lineRule="auto" w:line="360"/>
        <w:ind w:firstLine="720" w:end="0"/>
        <w:rPr/>
      </w:pPr>
      <w:r>
        <w:rPr>
          <w:rFonts w:cs="Times" w:ascii="Times" w:hAnsi="Times"/>
          <w:sz w:val="22"/>
        </w:rPr>
        <w:t>(4)</w:t>
        <w:tab/>
        <w:t>The Respondent has directed and/or procured breaches of the PPA by MSEB.  The Respondent controls the board of directors of the MSEB.  In addition, it controls the finances of MSEB.  As a practical matter, it is able to exert, and does in fact exert, a high degree of control over the management of MSEB and the conduct of MSEB’s day-to-day business. For a number of months the MSEB has persistently failed to pay to the Claimant all such sums as having become due to it under the PPA punctually or (in certain cases) at all.  Further, since 28</w:t>
      </w:r>
      <w:r>
        <w:rPr>
          <w:rFonts w:cs="Times" w:ascii="Times" w:hAnsi="Times"/>
          <w:sz w:val="22"/>
          <w:vertAlign w:val="superscript"/>
        </w:rPr>
        <w:t>th</w:t>
      </w:r>
      <w:r>
        <w:rPr>
          <w:rFonts w:cs="Times" w:ascii="Times" w:hAnsi="Times"/>
          <w:sz w:val="22"/>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w:t>
      </w:r>
    </w:p>
    <w:p>
      <w:pPr>
        <w:pStyle w:val="Body"/>
        <w:spacing w:lineRule="auto" w:line="360"/>
        <w:ind w:firstLine="720" w:end="0"/>
        <w:rPr/>
      </w:pPr>
      <w:r>
        <w:rPr>
          <w:rFonts w:cs="Times" w:ascii="Times" w:hAnsi="Times"/>
          <w:sz w:val="22"/>
        </w:rPr>
        <w:t>(5)</w:t>
        <w:tab/>
        <w:t>The Respondent has delayed or refused or participated in the refusal of Clearances.  In particular, the Claimant is required to hold a consent to operate the Power Station issued by the MPCB.  The MPCB has failed (without good reason) to renew the Claimant’s consent to operate the Power Station for a further period as requested by the Claimant on 22</w:t>
      </w:r>
      <w:r>
        <w:rPr>
          <w:rFonts w:cs="Times" w:ascii="Times" w:hAnsi="Times"/>
          <w:sz w:val="22"/>
          <w:vertAlign w:val="superscript"/>
        </w:rPr>
        <w:t>nd</w:t>
      </w:r>
      <w:r>
        <w:rPr>
          <w:rFonts w:cs="Times" w:ascii="Times" w:hAnsi="Times"/>
          <w:sz w:val="22"/>
        </w:rPr>
        <w:t xml:space="preserve"> January 2001.  Despite requests from the Claimant for assistance in connection with the renewal of the Clearances, the Respondent has rendered no such assistance.  The Claimant’s case will be that the Respondent has given directions to and/or has counselled and procured the MPCB to delay or withhold the Clearances to which the Claimant is entitled and/or to impose requirements which the MPCB was not entitled to impose.</w:t>
      </w:r>
    </w:p>
    <w:p>
      <w:pPr>
        <w:pStyle w:val="Recitals"/>
        <w:numPr>
          <w:ilvl w:val="0"/>
          <w:numId w:val="0"/>
        </w:numPr>
        <w:ind w:firstLine="720" w:start="-720" w:end="0"/>
        <w:rPr>
          <w:b w:val="false"/>
        </w:rPr>
      </w:pPr>
      <w:r>
        <w:rPr>
          <w:b w:val="false"/>
        </w:rPr>
        <w:t>(4)</w:t>
        <w:tab/>
      </w:r>
      <w:r>
        <w:rPr>
          <w:b w:val="false"/>
          <w:u w:val="single"/>
        </w:rPr>
        <w:t>Amount of the Claim</w:t>
      </w:r>
    </w:p>
    <w:p>
      <w:pPr>
        <w:pStyle w:val="1LevelPara"/>
        <w:numPr>
          <w:ilvl w:val="0"/>
          <w:numId w:val="18"/>
        </w:numPr>
        <w:ind w:hanging="0" w:start="0" w:end="0"/>
        <w:rPr/>
      </w:pPr>
      <w:r>
        <w:rPr/>
        <w:t>The amount of the Claimant’s claim for damages is a sum in excess of U.S.$50,000,000.</w:t>
      </w:r>
    </w:p>
    <w:p>
      <w:pPr>
        <w:pStyle w:val="1LevelPara"/>
        <w:numPr>
          <w:ilvl w:val="0"/>
          <w:numId w:val="18"/>
        </w:numPr>
        <w:ind w:hanging="0" w:start="0" w:end="0"/>
        <w:rPr/>
      </w:pPr>
      <w:r>
        <w:rPr/>
        <w:t>The Claimant seeks the following relief:</w:t>
      </w:r>
    </w:p>
    <w:p>
      <w:pPr>
        <w:pStyle w:val="Body"/>
        <w:ind w:start="720" w:end="0"/>
        <w:rPr>
          <w:rFonts w:ascii="Times" w:hAnsi="Times" w:cs="Times"/>
          <w:sz w:val="22"/>
        </w:rPr>
      </w:pPr>
      <w:r>
        <w:rPr>
          <w:rFonts w:cs="Times" w:ascii="Times" w:hAnsi="Times"/>
          <w:sz w:val="22"/>
        </w:rPr>
        <w:t>(1)</w:t>
        <w:tab/>
        <w:t>The Claimant claims declarations as follows:</w:t>
      </w:r>
    </w:p>
    <w:p>
      <w:pPr>
        <w:pStyle w:val="Body"/>
        <w:spacing w:lineRule="auto" w:line="360"/>
        <w:ind w:hanging="720" w:start="1440" w:end="0"/>
        <w:rPr>
          <w:rFonts w:ascii="Times" w:hAnsi="Times" w:cs="Times"/>
          <w:sz w:val="22"/>
        </w:rPr>
      </w:pPr>
      <w:r>
        <w:rPr>
          <w:rFonts w:cs="Times" w:ascii="Times" w:hAnsi="Times"/>
          <w:sz w:val="22"/>
        </w:rPr>
        <w:tab/>
        <w:t>(a)</w:t>
        <w:tab/>
        <w:t>that the GOM Support Agreement is valid in accordance with its terms and conditions and that the Respondent is unconditionally and irrevocably bound by the obligations which it has assumed thereunder;</w:t>
      </w:r>
    </w:p>
    <w:p>
      <w:pPr>
        <w:pStyle w:val="Body"/>
        <w:spacing w:lineRule="auto" w:line="360"/>
        <w:ind w:hanging="720" w:start="1440" w:end="0"/>
        <w:rPr>
          <w:rFonts w:ascii="Times" w:hAnsi="Times" w:cs="Times"/>
          <w:sz w:val="22"/>
        </w:rPr>
      </w:pPr>
      <w:r>
        <w:rPr>
          <w:rFonts w:cs="Times" w:ascii="Times" w:hAnsi="Times"/>
          <w:sz w:val="22"/>
        </w:rPr>
        <w:tab/>
        <w:t>(b)</w:t>
        <w:tab/>
        <w:t>as to the respective rights and obligations of the parties under the GOM Support Agreement; and/or</w:t>
      </w:r>
    </w:p>
    <w:p>
      <w:pPr>
        <w:pStyle w:val="Body"/>
        <w:spacing w:lineRule="auto" w:line="360"/>
        <w:ind w:hanging="720" w:start="1440" w:end="0"/>
        <w:rPr>
          <w:rFonts w:ascii="Times" w:hAnsi="Times" w:cs="Times"/>
          <w:sz w:val="22"/>
        </w:rPr>
      </w:pPr>
      <w:r>
        <w:rPr>
          <w:rFonts w:cs="Times" w:ascii="Times" w:hAnsi="Times"/>
          <w:sz w:val="22"/>
        </w:rPr>
        <w:tab/>
        <w:t>(c)</w:t>
        <w:tab/>
        <w:t>that the Respondent is in default of its obligations under the GOM Support Agreement.</w:t>
      </w:r>
    </w:p>
    <w:p>
      <w:pPr>
        <w:pStyle w:val="Body"/>
        <w:spacing w:lineRule="auto" w:line="360"/>
        <w:ind w:hanging="720" w:start="1440" w:end="0"/>
        <w:rPr>
          <w:rFonts w:ascii="Times" w:hAnsi="Times" w:cs="Times"/>
          <w:sz w:val="22"/>
        </w:rPr>
      </w:pPr>
      <w:r>
        <w:rPr>
          <w:rFonts w:cs="Times" w:ascii="Times" w:hAnsi="Times"/>
          <w:sz w:val="22"/>
        </w:rPr>
        <w:t>(2)</w:t>
        <w:tab/>
        <w:t>The Claimant claims the specific performance by the Respondent of each and every of the obligations imposed upon it under the GOM Support Agreement and an order that the Respondent forthwith performs in full, punctually and strictly in accordance with its terms and conditions, all such obligations.</w:t>
      </w:r>
    </w:p>
    <w:p>
      <w:pPr>
        <w:pStyle w:val="Body"/>
        <w:spacing w:lineRule="auto" w:line="360"/>
        <w:ind w:hanging="720" w:start="1440" w:end="0"/>
        <w:rPr>
          <w:rFonts w:ascii="Times" w:hAnsi="Times" w:cs="Times"/>
          <w:sz w:val="22"/>
        </w:rPr>
      </w:pPr>
      <w:r>
        <w:rPr>
          <w:rFonts w:cs="Times" w:ascii="Times" w:hAnsi="Times"/>
          <w:sz w:val="22"/>
        </w:rPr>
        <w:t>(3)</w:t>
        <w:tab/>
        <w:t>The Claimant claims damages for the losses sustained by it by reason of the breaches of the GOM Support Agreement.</w:t>
      </w:r>
    </w:p>
    <w:p>
      <w:pPr>
        <w:pStyle w:val="Body"/>
        <w:ind w:hanging="720" w:start="1440" w:end="0"/>
        <w:rPr>
          <w:rFonts w:ascii="Times" w:hAnsi="Times" w:cs="Times"/>
          <w:sz w:val="22"/>
        </w:rPr>
      </w:pPr>
      <w:r>
        <w:rPr>
          <w:rFonts w:cs="Times" w:ascii="Times" w:hAnsi="Times"/>
          <w:sz w:val="22"/>
        </w:rPr>
        <w:t>(4)</w:t>
        <w:tab/>
        <w:t>Further and other relief.</w:t>
      </w:r>
    </w:p>
    <w:p>
      <w:pPr>
        <w:pStyle w:val="Body"/>
        <w:ind w:hanging="720" w:start="1440" w:end="0"/>
        <w:rPr>
          <w:rFonts w:ascii="Times" w:hAnsi="Times" w:cs="Times"/>
          <w:sz w:val="22"/>
        </w:rPr>
      </w:pPr>
      <w:r>
        <w:rPr>
          <w:rFonts w:cs="Times" w:ascii="Times" w:hAnsi="Times"/>
          <w:sz w:val="22"/>
        </w:rPr>
        <w:t>(5)</w:t>
        <w:tab/>
        <w:t>Costs.</w:t>
      </w:r>
    </w:p>
    <w:p>
      <w:pPr>
        <w:pStyle w:val="1LevelPara"/>
        <w:numPr>
          <w:ilvl w:val="0"/>
          <w:numId w:val="18"/>
        </w:numPr>
        <w:ind w:hanging="0" w:start="0" w:end="0"/>
        <w:rPr/>
      </w:pPr>
      <w:r>
        <w:rPr/>
        <w:t>The Claimant reserves its rights to add to, subtract from or modify otherwise the relief sought.</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Clause 11.2 of the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within a period of thirty days. The Claimant calls to the attention of the Respondent the provisions of Article 7 of the UNCITRAL Arbitration Rules with respect to the appointment by the Respondent of an </w:t>
        <w:br/>
        <w:t xml:space="preserve">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10</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10</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1LevelPara"/>
        <w:numPr>
          <w:ilvl w:val="0"/>
          <w:numId w:val="0"/>
        </w:numPr>
        <w:ind w:hanging="0" w:start="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headerReference w:type="default" r:id="rId2"/>
          <w:footerReference w:type="default" r:id="rId3"/>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9.4.01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Centre not to pay DPC’s December bills”</w:t>
            </w:r>
          </w:p>
        </w:tc>
      </w:tr>
    </w:tbl>
    <w:p>
      <w:pPr>
        <w:sectPr>
          <w:headerReference w:type="default" r:id="rId4"/>
          <w:headerReference w:type="first" r:id="rId5"/>
          <w:footerReference w:type="default" r:id="rId6"/>
          <w:footerReference w:type="first" r:id="rId7"/>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8"/>
      <w:headerReference w:type="first" r:id="rId9"/>
      <w:footerReference w:type="default" r:id="rId10"/>
      <w:footerReference w:type="first" r:id="rId11"/>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18</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20</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31"/>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2001-04-09T14:17:00Z</dcterms:created>
  <dc:creator>Any Authorised User</dc:creator>
  <dc:description/>
  <dc:language>en-CA</dc:language>
  <cp:lastModifiedBy>Any Authorised User</cp:lastModifiedBy>
  <cp:lastPrinted>2001-04-10T00:44:00Z</cp:lastPrinted>
  <dcterms:modified xsi:type="dcterms:W3CDTF">2001-04-09T14:19:00Z</dcterms:modified>
  <cp:revision>4</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Last Modified">
    <vt:lpwstr/>
  </property>
  <property fmtid="{D5CDD505-2E9C-101B-9397-08002B2CF9AE}" pid="4" name="Template Version">
    <vt:lpwstr>6.5a</vt:lpwstr>
  </property>
  <property fmtid="{D5CDD505-2E9C-101B-9397-08002B2CF9AE}" pid="5" name="Version">
    <vt:lpwstr/>
  </property>
</Properties>
</file>