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MEMORANDUM</w:t>
      </w:r>
    </w:p>
    <w:p>
      <w:pPr>
        <w:pStyle w:val="Normal"/>
        <w:rPr/>
      </w:pPr>
      <w:r>
        <w:rPr/>
      </w:r>
    </w:p>
    <w:p>
      <w:pPr>
        <w:pStyle w:val="Normal"/>
        <w:rPr/>
      </w:pPr>
      <w:r>
        <w:rPr/>
      </w:r>
    </w:p>
    <w:p>
      <w:pPr>
        <w:pStyle w:val="Normal"/>
        <w:rPr/>
      </w:pPr>
      <w:r>
        <w:rPr/>
        <w:t>To:</w:t>
        <w:tab/>
        <w:tab/>
        <w:t xml:space="preserve">Kevin Garland </w:t>
      </w:r>
    </w:p>
    <w:p>
      <w:pPr>
        <w:pStyle w:val="Normal"/>
        <w:rPr/>
      </w:pPr>
      <w:r>
        <w:rPr/>
      </w:r>
    </w:p>
    <w:p>
      <w:pPr>
        <w:pStyle w:val="Normal"/>
        <w:rPr/>
      </w:pPr>
      <w:r>
        <w:rPr/>
        <w:t>From:</w:t>
        <w:tab/>
        <w:tab/>
        <w:t>Steven Sheldon</w:t>
      </w:r>
    </w:p>
    <w:p>
      <w:pPr>
        <w:pStyle w:val="Normal"/>
        <w:rPr/>
      </w:pPr>
      <w:r>
        <w:rPr/>
      </w:r>
    </w:p>
    <w:p>
      <w:pPr>
        <w:pStyle w:val="Normal"/>
        <w:rPr/>
      </w:pPr>
      <w:r>
        <w:rPr/>
        <w:t>Cc:</w:t>
        <w:tab/>
        <w:tab/>
        <w:t>John Lavorato</w:t>
      </w:r>
    </w:p>
    <w:p>
      <w:pPr>
        <w:pStyle w:val="Normal"/>
        <w:rPr/>
      </w:pPr>
      <w:r>
        <w:rPr/>
        <w:tab/>
        <w:tab/>
        <w:t>Louise Kitchen</w:t>
      </w:r>
    </w:p>
    <w:p>
      <w:pPr>
        <w:pStyle w:val="Normal"/>
        <w:rPr/>
      </w:pPr>
      <w:r>
        <w:rPr/>
        <w:tab/>
        <w:tab/>
        <w:t>Jeff Donahue</w:t>
      </w:r>
    </w:p>
    <w:p>
      <w:pPr>
        <w:pStyle w:val="Normal"/>
        <w:ind w:firstLine="720" w:start="720" w:end="0"/>
        <w:rPr/>
      </w:pPr>
      <w:r>
        <w:rPr/>
        <w:t>Joe Kishkell</w:t>
      </w:r>
    </w:p>
    <w:p>
      <w:pPr>
        <w:pStyle w:val="Normal"/>
        <w:ind w:start="1440" w:end="0"/>
        <w:rPr/>
      </w:pPr>
      <w:r>
        <w:rPr/>
        <w:t>Wes Colwell</w:t>
      </w:r>
    </w:p>
    <w:p>
      <w:pPr>
        <w:pStyle w:val="Normal"/>
        <w:rPr/>
      </w:pPr>
      <w:r>
        <w:rPr/>
      </w:r>
    </w:p>
    <w:p>
      <w:pPr>
        <w:pStyle w:val="Normal"/>
        <w:rPr/>
      </w:pPr>
      <w:r>
        <w:rPr/>
        <w:t>Re:</w:t>
        <w:tab/>
        <w:tab/>
        <w:t>Copel Position</w:t>
      </w:r>
    </w:p>
    <w:p>
      <w:pPr>
        <w:pStyle w:val="Normal"/>
        <w:rPr/>
      </w:pPr>
      <w:r>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-342900</wp:posOffset>
                </wp:positionH>
                <wp:positionV relativeFrom="paragraph">
                  <wp:posOffset>350520</wp:posOffset>
                </wp:positionV>
                <wp:extent cx="6286500" cy="0"/>
                <wp:effectExtent l="0" t="5080" r="0" b="5080"/>
                <wp:wrapNone/>
                <wp:docPr id="1" name=""/>
                <a:graphic xmlns:a="http://schemas.openxmlformats.org/drawingml/2006/main">
                  <a:graphicData uri="http://schemas.microsoft.com/office/word/2010/wordprocessingShape">
                    <wps:wsp>
                      <wps:cNvSpPr/>
                      <wps:spPr>
                        <a:xfrm>
                          <a:off x="0" y="0"/>
                          <a:ext cx="6286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27.6pt" to="467.95pt,27.6pt" stroked="t" o:allowincell="f" style="position:absolute">
                <v:stroke color="black" weight="9360" joinstyle="miter" endcap="flat"/>
                <v:fill o:detectmouseclick="t" on="false"/>
                <w10:wrap type="none"/>
              </v:line>
            </w:pict>
          </mc:Fallback>
        </mc:AlternateContent>
      </w:r>
      <w:r>
        <w:rPr/>
        <w:t>Date:</w:t>
        <w:tab/>
        <w:tab/>
        <w:t>July 9, 2001</w:t>
      </w:r>
    </w:p>
    <w:p>
      <w:pPr>
        <w:pStyle w:val="Normal"/>
        <w:rPr/>
      </w:pPr>
      <w:r>
        <w:rPr/>
      </w:r>
    </w:p>
    <w:p>
      <w:pPr>
        <w:pStyle w:val="Normal"/>
        <w:rPr/>
      </w:pPr>
      <w:r>
        <w:rPr/>
      </w:r>
    </w:p>
    <w:p>
      <w:pPr>
        <w:pStyle w:val="Normal"/>
        <w:rPr/>
      </w:pPr>
      <w:r>
        <w:rPr/>
        <w:t xml:space="preserve">The purpose of this memo is to update you as to the status of our COPEL holdings and outline our strategy for exiting our remaining position.   To get up to speed on this position, I’ve had conversations with the following people: Robert George – legal, Vladamir Gorny – risk management, Joe Kishkell and Britaldo Soares – Enron management in Brazil, David Gorte – RAC, Wes Colwell  – accounting, Aneela Charania and Donna Lowry – compliance.  </w:t>
      </w:r>
    </w:p>
    <w:p>
      <w:pPr>
        <w:pStyle w:val="Normal"/>
        <w:rPr/>
      </w:pPr>
      <w:r>
        <w:rPr/>
      </w:r>
    </w:p>
    <w:p>
      <w:pPr>
        <w:pStyle w:val="Normal"/>
        <w:rPr/>
      </w:pPr>
      <w:r>
        <w:rPr/>
        <w:t xml:space="preserve">To quickly review, we purchased 15,443,600 shares in June ’99 for $131,026,735 at an avg. share price of $8.48.  In Q1 and Q2 of ’01 we sold a total of 2.5 million shares in the public market under rule 144, generating proceeds of approx. $21,236,829 (approx. $300k under our original cost).  As of June 26, 2001, our 2-year holding requirement has expired and we can have the restriction to sell our remaining shares in the public markets lifted.  The 12.9 million remaining shares (carrying value of $109.4MM and market value $99.4MM based on $7.70/share as of 7/9/01) have been moved to our brokerage account at Morgan Stanley and the process is underway to lift the sale restrictions.  Robert George has indicated that they should become freely tradable any day and will notify me when this occurs.       </w:t>
      </w:r>
    </w:p>
    <w:p>
      <w:pPr>
        <w:pStyle w:val="Normal"/>
        <w:rPr/>
      </w:pPr>
      <w:r>
        <w:rPr/>
      </w:r>
    </w:p>
    <w:p>
      <w:pPr>
        <w:pStyle w:val="Normal"/>
        <w:rPr/>
      </w:pPr>
      <w:r>
        <w:rPr/>
        <w:t xml:space="preserve">Several factors point to the fact that we should continue to work towards exiting our COPEL position in its entirety in the near future.  These factors include (i) the investment no longer represents any strategic importance to Enron, (ii) weakening economic fundamentals in Brazil and an electricity shortage caused by a drought have caused political uncertainty that may hurt or seriously delay COPEL’s chances for privatization (currently scheduled for later this year and expected to be a major catalyst for appreciation in the stock), and  (iii) Enron can reduce its significant exposure to Brazil buy selling its relatively liquid COPEL position at a price close to our carrying amount.  </w:t>
      </w:r>
    </w:p>
    <w:p>
      <w:pPr>
        <w:pStyle w:val="Normal"/>
        <w:rPr/>
      </w:pPr>
      <w:r>
        <w:rPr/>
      </w:r>
    </w:p>
    <w:p>
      <w:pPr>
        <w:pStyle w:val="Normal"/>
        <w:rPr/>
      </w:pPr>
      <w:r>
        <w:rPr/>
        <w:t xml:space="preserve">There are two strategies for sale of our shares that we will pursue in parallel.  We will begin selling our shares in public market transactions as soon as the restrictions are lifted as well as evaluate the possibility of arranging a block trade(s) with investment banks (most likely CSFB). </w:t>
      </w:r>
    </w:p>
    <w:p>
      <w:pPr>
        <w:pStyle w:val="Normal"/>
        <w:rPr/>
      </w:pPr>
      <w:r>
        <w:rPr/>
        <w:t xml:space="preserve">  </w:t>
      </w:r>
    </w:p>
    <w:p>
      <w:pPr>
        <w:pStyle w:val="Normal"/>
        <w:rPr/>
      </w:pPr>
      <w:r>
        <w:rPr/>
        <w:t>Over the last 6 months, average daily volume for the ADR (symbol “ELP”) has been approx. 675,000 shares/day.  We will sell into the public market in volumes to the extent that our shares can be absorbed without causing downward pricing pressure.   It may take a few months to sell the entire position through these types of market trades.  Public market trades will be executed through Gary Hickerson’s trading group.</w:t>
      </w:r>
    </w:p>
    <w:p>
      <w:pPr>
        <w:pStyle w:val="Normal"/>
        <w:rPr/>
      </w:pPr>
      <w:r>
        <w:rPr/>
      </w:r>
    </w:p>
    <w:p>
      <w:pPr>
        <w:pStyle w:val="Normal"/>
        <w:rPr/>
      </w:pPr>
      <w:r>
        <w:rPr/>
        <w:t xml:space="preserve">In addition, we will evaluate if an investment bank  (most likely CSFB) can arrange for a block trade, directly or indirectly, for a significant portion of our position.  There may be some strategic or financial investors that have an interest in accumulating a sizable position in COPEL.   </w:t>
      </w:r>
    </w:p>
    <w:p>
      <w:pPr>
        <w:pStyle w:val="Normal"/>
        <w:rPr/>
      </w:pPr>
      <w:r>
        <w:rPr/>
      </w:r>
    </w:p>
    <w:p>
      <w:pPr>
        <w:pStyle w:val="Normal"/>
        <w:rPr/>
      </w:pPr>
      <w:r>
        <w:rPr/>
        <w:t xml:space="preserve">RAC has approved the sale of our entire position (see Millenium Divestiture 2 DASH dated May 10, 2001) and Donna Lowry (in Compliance) has been notified and requested we update certification that we are not in possession of any material non-public information.   We are n the process of doing this so we can initiate discussions with the equity trading desk.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2001-07-09T13:54:00Z</dcterms:created>
  <dc:creator>ssheldo</dc:creator>
  <dc:description/>
  <dc:language>en-CA</dc:language>
  <cp:lastModifiedBy>ssheldo</cp:lastModifiedBy>
  <cp:lastPrinted>2001-07-09T17:51:00Z</cp:lastPrinted>
  <dcterms:modified xsi:type="dcterms:W3CDTF">2001-07-09T20:49:00Z</dcterms:modified>
  <cp:revision>16</cp:revision>
  <dc:subject/>
  <dc:title>CONFIDENTIAL MEMORANDUM</dc:title>
</cp:coreProperties>
</file>