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er"/>
        <w:tabs>
          <w:tab w:val="clear" w:pos="4320"/>
          <w:tab w:val="clear" w:pos="8640"/>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jc w:val="center"/>
        <w:rPr/>
      </w:pPr>
      <w:r>
        <w:rPr/>
        <w:t>June 10, 2000</w:t>
      </w:r>
    </w:p>
    <w:p>
      <w:pPr>
        <w:pStyle w:val="Normal"/>
        <w:rPr>
          <w:rFonts w:ascii="Arial" w:hAnsi="Arial" w:cs="Arial"/>
          <w:sz w:val="24"/>
        </w:rPr>
      </w:pPr>
      <w:r>
        <w:rPr>
          <w:rFonts w:cs="Arial" w:ascii="Arial" w:hAnsi="Arial"/>
          <w:sz w:val="24"/>
        </w:rPr>
      </w:r>
    </w:p>
    <w:p>
      <w:pPr>
        <w:pStyle w:val="Normal"/>
        <w:jc w:val="end"/>
        <w:rPr>
          <w:rFonts w:ascii="Arial" w:hAnsi="Arial" w:cs="Arial"/>
          <w:sz w:val="24"/>
        </w:rPr>
      </w:pPr>
      <w:r>
        <w:rPr>
          <w:rFonts w:cs="Arial" w:ascii="Arial" w:hAnsi="Arial"/>
          <w:sz w:val="24"/>
        </w:rPr>
        <w:t>VIA CERTIFIED MAIL</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Mr. Louis W. Cox</w:t>
      </w:r>
    </w:p>
    <w:p>
      <w:pPr>
        <w:pStyle w:val="Normal"/>
        <w:jc w:val="both"/>
        <w:rPr>
          <w:rFonts w:ascii="Arial" w:hAnsi="Arial" w:cs="Arial"/>
          <w:sz w:val="24"/>
        </w:rPr>
      </w:pPr>
      <w:r>
        <w:rPr>
          <w:rFonts w:cs="Arial" w:ascii="Arial" w:hAnsi="Arial"/>
          <w:sz w:val="24"/>
        </w:rPr>
        <w:t>Director, Energy Services</w:t>
      </w:r>
    </w:p>
    <w:p>
      <w:pPr>
        <w:pStyle w:val="Normal"/>
        <w:jc w:val="both"/>
        <w:rPr>
          <w:rFonts w:ascii="Arial" w:hAnsi="Arial" w:cs="Arial"/>
          <w:sz w:val="24"/>
        </w:rPr>
      </w:pPr>
      <w:r>
        <w:rPr>
          <w:rFonts w:cs="Arial" w:ascii="Arial" w:hAnsi="Arial"/>
          <w:sz w:val="24"/>
        </w:rPr>
        <w:t>Copano Energy Services</w:t>
      </w:r>
    </w:p>
    <w:p>
      <w:pPr>
        <w:pStyle w:val="Normal"/>
        <w:jc w:val="both"/>
        <w:rPr>
          <w:rFonts w:ascii="Arial" w:hAnsi="Arial" w:cs="Arial"/>
          <w:sz w:val="24"/>
        </w:rPr>
      </w:pPr>
      <w:r>
        <w:rPr>
          <w:rFonts w:cs="Arial" w:ascii="Arial" w:hAnsi="Arial"/>
          <w:sz w:val="24"/>
        </w:rPr>
        <w:t>1300 Post Oak Boulevard, Suite 1750</w:t>
      </w:r>
    </w:p>
    <w:p>
      <w:pPr>
        <w:pStyle w:val="Normal"/>
        <w:jc w:val="both"/>
        <w:rPr>
          <w:rFonts w:ascii="Arial" w:hAnsi="Arial" w:cs="Arial"/>
          <w:sz w:val="24"/>
        </w:rPr>
      </w:pPr>
      <w:r>
        <w:rPr>
          <w:rFonts w:cs="Arial" w:ascii="Arial" w:hAnsi="Arial"/>
          <w:sz w:val="24"/>
        </w:rPr>
        <w:t>Houston, TX 77056</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BodyTextIndent"/>
        <w:rPr/>
      </w:pPr>
      <w:r>
        <w:rPr/>
        <w:t>RE:</w:t>
        <w:tab/>
        <w:t>Resolution of issues relating to Copano Energy Service’s (“</w:t>
      </w:r>
      <w:r>
        <w:rPr>
          <w:u w:val="single"/>
        </w:rPr>
        <w:t>Copano</w:t>
      </w:r>
      <w:r>
        <w:rPr/>
        <w:t>”) pipeline easement and meter facility surface easement located at Houston Pipe Line Company’s (“</w:t>
      </w:r>
      <w:r>
        <w:rPr>
          <w:u w:val="single"/>
        </w:rPr>
        <w:t>HPL</w:t>
      </w:r>
      <w:r>
        <w:rPr/>
        <w:t>”) Bammel Storage Facility (the “</w:t>
      </w:r>
      <w:r>
        <w:rPr>
          <w:u w:val="single"/>
        </w:rPr>
        <w:t>Bammel Facility</w:t>
      </w:r>
      <w:r>
        <w:rPr/>
        <w:t>”) in Harris County, Texas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Dear Mr. Cox:</w:t>
      </w:r>
    </w:p>
    <w:p>
      <w:pPr>
        <w:pStyle w:val="Normal"/>
        <w:ind w:hanging="720" w:start="720" w:end="0"/>
        <w:rPr>
          <w:rFonts w:ascii="Arial" w:hAnsi="Arial" w:cs="Arial"/>
          <w:sz w:val="24"/>
        </w:rPr>
      </w:pPr>
      <w:r>
        <w:rPr>
          <w:rFonts w:cs="Arial" w:ascii="Arial" w:hAnsi="Arial"/>
          <w:sz w:val="24"/>
        </w:rPr>
      </w:r>
    </w:p>
    <w:p>
      <w:pPr>
        <w:pStyle w:val="BodyText"/>
        <w:rPr/>
      </w:pPr>
      <w:r>
        <w:rPr/>
        <w:t>The purpose of this letter agreement (this “</w:t>
      </w:r>
      <w:r>
        <w:rPr>
          <w:u w:val="single"/>
        </w:rPr>
        <w:t>Letter Agreement</w:t>
      </w:r>
      <w:r>
        <w:rPr/>
        <w:t>”) is to outline the understanding between HPL and Copano and to settle and resolve the dispute regarding the expiration of Copano’s easement rights granted in that certain Pipeline Right of Way Contract dated February 15, 1946 (the “</w:t>
      </w:r>
      <w:r>
        <w:rPr>
          <w:u w:val="single"/>
        </w:rPr>
        <w:t>Pipeline ROW</w:t>
      </w:r>
      <w:r>
        <w:rPr/>
        <w:t>”) and that certain Facility Easement dated December 7, 1988 (the “</w:t>
      </w:r>
      <w:r>
        <w:rPr>
          <w:u w:val="single"/>
        </w:rPr>
        <w:t>Facility Easement</w:t>
      </w:r>
      <w:r>
        <w:rPr/>
        <w:t>”) which are located at the Bammel Facility.  Copano’s Lake Creek Lateral pipeline (the “</w:t>
      </w:r>
      <w:r>
        <w:rPr>
          <w:u w:val="single"/>
        </w:rPr>
        <w:t>Lake Creek Line</w:t>
      </w:r>
      <w:r>
        <w:rPr/>
        <w:t>”) is covered by the Pipeline ROW referenced above.  The terms of this letter agreement are as follows:</w:t>
      </w:r>
    </w:p>
    <w:p>
      <w:pPr>
        <w:pStyle w:val="BodyText"/>
        <w:rPr/>
      </w:pPr>
      <w:r>
        <w:rPr/>
      </w:r>
    </w:p>
    <w:p>
      <w:pPr>
        <w:pStyle w:val="BodyText"/>
        <w:numPr>
          <w:ilvl w:val="0"/>
          <w:numId w:val="3"/>
        </w:numPr>
        <w:rPr/>
      </w:pPr>
      <w:r>
        <w:rPr/>
        <w:t xml:space="preserve">Copano acknowledges that HPL asserts that the Pipeline ROW and the Facility Easement located at the Bammel Facility have expired due to Copano’s non-use of its pipeline facilities located on the Pipeline ROW and the Facility Easement in accordance with the terms and conditions of the respective agreements.  </w:t>
      </w:r>
    </w:p>
    <w:p>
      <w:pPr>
        <w:pStyle w:val="BodyText"/>
        <w:ind w:start="720" w:end="0"/>
        <w:rPr/>
      </w:pPr>
      <w:r>
        <w:rPr/>
      </w:r>
    </w:p>
    <w:p>
      <w:pPr>
        <w:pStyle w:val="BodyText"/>
        <w:numPr>
          <w:ilvl w:val="0"/>
          <w:numId w:val="3"/>
        </w:numPr>
        <w:rPr/>
      </w:pPr>
      <w:r>
        <w:rPr/>
        <w:t xml:space="preserve">HPL acknowledges that Copano asserts the Pipeline ROW and the Facility Easement have not expired due to Copano’s surface maintenance of the Lake Creek Line and surface facilities even though no gas has flowed through the Lake Creek Line for a period of at least 2 years.  </w:t>
      </w:r>
    </w:p>
    <w:p>
      <w:pPr>
        <w:pStyle w:val="BodyText"/>
        <w:ind w:start="720" w:end="0"/>
        <w:rPr/>
      </w:pPr>
      <w:r>
        <w:rPr/>
      </w:r>
    </w:p>
    <w:p>
      <w:pPr>
        <w:pStyle w:val="BodyText"/>
        <w:numPr>
          <w:ilvl w:val="0"/>
          <w:numId w:val="3"/>
        </w:numPr>
        <w:tabs>
          <w:tab w:val="clear" w:pos="720"/>
        </w:tabs>
        <w:rPr/>
      </w:pPr>
      <w:r>
        <w:rPr/>
        <w:t xml:space="preserve">To effectuate a final resolution of this matter Copano and HPL agree that: </w:t>
      </w:r>
    </w:p>
    <w:p>
      <w:pPr>
        <w:pStyle w:val="BodyText"/>
        <w:rPr/>
      </w:pPr>
      <w:r>
        <w:rPr/>
      </w:r>
    </w:p>
    <w:p>
      <w:pPr>
        <w:pStyle w:val="BodyText"/>
        <w:numPr>
          <w:ilvl w:val="0"/>
          <w:numId w:val="2"/>
        </w:numPr>
        <w:tabs>
          <w:tab w:val="clear" w:pos="720"/>
        </w:tabs>
        <w:ind w:hanging="0" w:start="1440" w:end="0"/>
        <w:rPr/>
      </w:pPr>
      <w:r>
        <w:rPr/>
        <w:t>Copano shall interconnect its Lake Creek Line with HPL’s 24-inch pipeline (the “</w:t>
      </w:r>
      <w:r>
        <w:rPr>
          <w:u w:val="single"/>
        </w:rPr>
        <w:t>HPL Pipeline</w:t>
      </w:r>
      <w:r>
        <w:rPr/>
        <w:t>”) and construct a surface measurement facility (the “</w:t>
      </w:r>
      <w:r>
        <w:rPr>
          <w:u w:val="single"/>
        </w:rPr>
        <w:t>Interconnect</w:t>
      </w:r>
      <w:r>
        <w:rPr/>
        <w:t xml:space="preserve">”), within the Bammel Facility at a location to be determined.  The Interconnect shall be used to measure the gas flow between the Lake Creek Line and the HPL Pipeline.  The Interconnect, shall be designed, installed, and constructed by Copano, at Copano’s sole cost and expense and in accordance with HPL’s design instructions and specifications.  Within __ days from the execution of this Letter Agreement, Copano shall submit a complete and detailed set of construction plans of the Interconnect for HPL’s review and approval.  Copano shall construct the Interconnect within ___ days of HPL’s approval of Copano’s construction plans. HPL and Copano shall arrange a mutually agreeable schedule for the tie-in of the Lake Creek Line with the HPL Pipeline.  </w:t>
      </w:r>
    </w:p>
    <w:p>
      <w:pPr>
        <w:pStyle w:val="BodyText"/>
        <w:ind w:start="1440" w:end="0"/>
        <w:rPr/>
      </w:pPr>
      <w:r>
        <w:rPr/>
      </w:r>
    </w:p>
    <w:p>
      <w:pPr>
        <w:pStyle w:val="BodyText"/>
        <w:numPr>
          <w:ilvl w:val="0"/>
          <w:numId w:val="2"/>
        </w:numPr>
        <w:tabs>
          <w:tab w:val="clear" w:pos="720"/>
        </w:tabs>
        <w:ind w:hanging="0" w:start="1440" w:end="0"/>
        <w:rPr/>
      </w:pPr>
      <w:r>
        <w:rPr/>
        <w:t>Copano shall enter into an Agreement to Interconnect and Operate Natural Gas Meter Facilities (the “</w:t>
      </w:r>
      <w:r>
        <w:rPr>
          <w:u w:val="single"/>
        </w:rPr>
        <w:t>Interconnect Agreement</w:t>
      </w:r>
      <w:r>
        <w:rPr/>
        <w:t xml:space="preserve">”) with HPL to cover the design, construction and operation of the Interconnect within __ days of the execution of this Letter Agreement.  The Interconnect Agreement shall be substantially in the form of Exhibit “A” attached hereto and made a part hereof.  </w:t>
      </w:r>
    </w:p>
    <w:p>
      <w:pPr>
        <w:pStyle w:val="BodyText"/>
        <w:rPr/>
      </w:pPr>
      <w:r>
        <w:rPr/>
      </w:r>
    </w:p>
    <w:p>
      <w:pPr>
        <w:pStyle w:val="BodyText"/>
        <w:numPr>
          <w:ilvl w:val="0"/>
          <w:numId w:val="2"/>
        </w:numPr>
        <w:tabs>
          <w:tab w:val="clear" w:pos="720"/>
        </w:tabs>
        <w:ind w:hanging="0" w:start="1440" w:end="0"/>
        <w:rPr/>
      </w:pPr>
      <w:r>
        <w:rPr/>
        <w:t xml:space="preserve">In accordance with the terms and conditions of the Interconnect Agreement, Copano and HPL agree that: </w:t>
      </w:r>
    </w:p>
    <w:p>
      <w:pPr>
        <w:pStyle w:val="BodyText"/>
        <w:rPr/>
      </w:pPr>
      <w:r>
        <w:rPr/>
      </w:r>
    </w:p>
    <w:p>
      <w:pPr>
        <w:pStyle w:val="BodyText"/>
        <w:numPr>
          <w:ilvl w:val="1"/>
          <w:numId w:val="2"/>
        </w:numPr>
        <w:rPr/>
      </w:pPr>
      <w:r>
        <w:rPr/>
        <w:t>Copano shall pay HPL a $.02/MMBTU meter fee (the “</w:t>
      </w:r>
      <w:r>
        <w:rPr>
          <w:u w:val="single"/>
        </w:rPr>
        <w:t>Meter Fee</w:t>
      </w:r>
      <w:r>
        <w:rPr/>
        <w:t xml:space="preserve">”) for the initial 5,000,000 MMBTU of gas that is measured at the Interconnect.  </w:t>
      </w:r>
    </w:p>
    <w:p>
      <w:pPr>
        <w:pStyle w:val="BodyText"/>
        <w:ind w:start="2160" w:end="0"/>
        <w:rPr/>
      </w:pPr>
      <w:r>
        <w:rPr/>
      </w:r>
    </w:p>
    <w:p>
      <w:pPr>
        <w:pStyle w:val="BodyText"/>
        <w:numPr>
          <w:ilvl w:val="1"/>
          <w:numId w:val="2"/>
        </w:numPr>
        <w:rPr/>
      </w:pPr>
      <w:r>
        <w:rPr/>
        <w:t>By the 15</w:t>
      </w:r>
      <w:r>
        <w:rPr>
          <w:vertAlign w:val="superscript"/>
        </w:rPr>
        <w:t>th</w:t>
      </w:r>
      <w:r>
        <w:rPr/>
        <w:t xml:space="preserve"> of every month, HPL shall invoice Copano for the previous month’s Meter Fee pursuant to the terms and conditions of the Interconnect Agreement.</w:t>
      </w:r>
    </w:p>
    <w:p>
      <w:pPr>
        <w:pStyle w:val="BodyText"/>
        <w:rPr/>
      </w:pPr>
      <w:r>
        <w:rPr/>
      </w:r>
    </w:p>
    <w:p>
      <w:pPr>
        <w:pStyle w:val="BodyText"/>
        <w:numPr>
          <w:ilvl w:val="1"/>
          <w:numId w:val="2"/>
        </w:numPr>
        <w:rPr/>
      </w:pPr>
      <w:r>
        <w:rPr/>
        <w:t xml:space="preserve">Within 60 days following each anniversary of the effective date of the Interconnect Agreement, HPL shall total all volumes that flowed through the Interconnect for the previous year.  </w:t>
      </w:r>
    </w:p>
    <w:p>
      <w:pPr>
        <w:pStyle w:val="BodyText"/>
        <w:rPr/>
      </w:pPr>
      <w:r>
        <w:rPr/>
      </w:r>
    </w:p>
    <w:p>
      <w:pPr>
        <w:pStyle w:val="BodyText"/>
        <w:numPr>
          <w:ilvl w:val="1"/>
          <w:numId w:val="2"/>
        </w:numPr>
        <w:rPr/>
      </w:pPr>
      <w:r>
        <w:rPr/>
        <w:t>If the volumes are less than 1,000,000 MMBTU for that year, Copano shall pay the difference between the actual volumes flowed multiplied by the Meter Fee and $20,0000 (the “</w:t>
      </w:r>
      <w:r>
        <w:rPr>
          <w:u w:val="single"/>
        </w:rPr>
        <w:t>True-up</w:t>
      </w:r>
      <w:r>
        <w:rPr/>
        <w:t>”). Copano shall pay the True-up within 10 days of Copano’s receipt of HPL’s statement of volumes and invoice.  (Example:  800,000 MMBTU flow in initial year (</w:t>
      </w:r>
      <w:r>
        <w:rPr>
          <w:b/>
          <w:bCs/>
        </w:rPr>
        <w:t>x</w:t>
      </w:r>
      <w:r>
        <w:rPr/>
        <w:t xml:space="preserve">) $.02 = $16,000.  Therefore, $20,000 - $16,000=$4,000 owed to HPL by Copano for True-up). </w:t>
      </w:r>
    </w:p>
    <w:p>
      <w:pPr>
        <w:pStyle w:val="BodyText"/>
        <w:rPr/>
      </w:pPr>
      <w:r>
        <w:rPr/>
      </w:r>
    </w:p>
    <w:p>
      <w:pPr>
        <w:pStyle w:val="BodyText"/>
        <w:numPr>
          <w:ilvl w:val="1"/>
          <w:numId w:val="2"/>
        </w:numPr>
        <w:rPr/>
      </w:pPr>
      <w:r>
        <w:rPr/>
        <w:t xml:space="preserve">Copano’s payment of the Meter Fee shall terminate upon Copano’s aggregate payment of $100,000, either through HPL’s receipt of such amount via the Meter Fee or the True-up.  </w:t>
      </w:r>
    </w:p>
    <w:p>
      <w:pPr>
        <w:pStyle w:val="BodyText"/>
        <w:rPr/>
      </w:pPr>
      <w:r>
        <w:rPr/>
      </w:r>
    </w:p>
    <w:p>
      <w:pPr>
        <w:pStyle w:val="BodyText"/>
        <w:numPr>
          <w:ilvl w:val="0"/>
          <w:numId w:val="2"/>
        </w:numPr>
        <w:tabs>
          <w:tab w:val="clear" w:pos="720"/>
        </w:tabs>
        <w:ind w:hanging="0" w:start="1440" w:end="0"/>
        <w:rPr/>
      </w:pPr>
      <w:r>
        <w:rPr/>
        <w:t>HPL shall grant to Copano easement rights for its Lake Creek Line as well as surface easement rights for the Interconnect at no cost.  The Right-of-Way Agreement shall be substantially in the form of Exhibit “B” attached hereto and made a part hereof (the “</w:t>
      </w:r>
      <w:r>
        <w:rPr>
          <w:u w:val="single"/>
        </w:rPr>
        <w:t>Right-of-Way Agreement</w:t>
      </w:r>
      <w:r>
        <w:rPr/>
        <w:t>”).</w:t>
      </w:r>
    </w:p>
    <w:p>
      <w:pPr>
        <w:pStyle w:val="BodyText"/>
        <w:rPr/>
      </w:pPr>
      <w:r>
        <w:rPr/>
      </w:r>
    </w:p>
    <w:p>
      <w:pPr>
        <w:pStyle w:val="BodyText"/>
        <w:numPr>
          <w:ilvl w:val="0"/>
          <w:numId w:val="3"/>
        </w:numPr>
        <w:rPr/>
      </w:pPr>
      <w:r>
        <w:rPr/>
        <w:t xml:space="preserve">Both HPL and Copano agree that they shall negotiate in good faith to complete the Right-of-Way Agreement and the equipment description provisions of the Interconnect Agreement and execute the Interconnect Agreement and the Right-of-Way Agreement within __ days of the effective date of this Letter Agreement.  </w:t>
      </w:r>
    </w:p>
    <w:p>
      <w:pPr>
        <w:pStyle w:val="BodyText"/>
        <w:ind w:start="720" w:end="0"/>
        <w:rPr/>
      </w:pPr>
      <w:r>
        <w:rPr/>
      </w:r>
    </w:p>
    <w:p>
      <w:pPr>
        <w:pStyle w:val="BodyText"/>
        <w:numPr>
          <w:ilvl w:val="0"/>
          <w:numId w:val="3"/>
        </w:numPr>
        <w:rPr/>
      </w:pPr>
      <w:r>
        <w:rPr/>
        <w:t xml:space="preserve">Execution of the Interconnect Agreement, Right-of-Way Agreement and this Letter Agreement shall be deemed to be the final, full and complete resolution </w:t>
      </w:r>
      <w:r>
        <w:rPr>
          <w:rFonts w:cs="Arial"/>
        </w:rPr>
        <w:t>of all claims and causes of action arising out of or relating to the</w:t>
      </w:r>
      <w:r>
        <w:rPr/>
        <w:t xml:space="preserve"> between Copano and HPL as to the expiration of Copano’s easement rights at the Bammel Facility.  </w:t>
      </w:r>
      <w:r>
        <w:rPr>
          <w:rFonts w:cs="Arial"/>
        </w:rPr>
        <w:t xml:space="preserve">Further, upon execution of the Right–of-Way Agreement, the Interconnect Agreement and this Settlement Agreement by Copano and HPL, each party hereto shall be deemed to have released, waived and forever discharged against the other party all claims, whether known or unknown, which have been or could have been asserted by either party hereto and arising out of or relating to the dispute involving Copano’s expiration of easement rights at the Bammel Facility, through the effective date of this Letter Agreement.  </w:t>
      </w:r>
    </w:p>
    <w:p>
      <w:pPr>
        <w:pStyle w:val="BodyText"/>
        <w:rPr/>
      </w:pPr>
      <w:r>
        <w:rPr/>
      </w:r>
    </w:p>
    <w:p>
      <w:pPr>
        <w:pStyle w:val="BodyText"/>
        <w:numPr>
          <w:ilvl w:val="0"/>
          <w:numId w:val="3"/>
        </w:numPr>
        <w:rPr/>
      </w:pPr>
      <w:r>
        <w:rPr>
          <w:rFonts w:cs="Arial"/>
        </w:rPr>
        <w:t xml:space="preserve">HPL and Copano are duly authorized and empowered to enter into this Letter Agreement and to consummate the transactions contemplated hereby and are duly formed, validly existing, and in good standing in the State of Texas.  </w:t>
      </w:r>
    </w:p>
    <w:p>
      <w:pPr>
        <w:pStyle w:val="BodyText"/>
        <w:rPr/>
      </w:pPr>
      <w:r>
        <w:rPr/>
      </w:r>
    </w:p>
    <w:p>
      <w:pPr>
        <w:pStyle w:val="BodyText"/>
        <w:numPr>
          <w:ilvl w:val="0"/>
          <w:numId w:val="3"/>
        </w:numPr>
        <w:rPr/>
      </w:pPr>
      <w:r>
        <w:rPr>
          <w:rFonts w:cs="Arial"/>
        </w:rPr>
        <w:t xml:space="preserve">THIS LETTER AGREEMENT SHALL BE GOVERNED BY AND CONSTRUED IN ACCORDANCE WITH THE LAWS OF THE STATE OF TEXAS, EXCLUDING ANY CONFLICTS-OF-LAW RULE OR PRINCIPLE WHICH MIGHT REFER TO THE LAWS OF ANOTHER STATE.  </w:t>
      </w:r>
    </w:p>
    <w:p>
      <w:pPr>
        <w:pStyle w:val="BodyText"/>
        <w:rPr/>
      </w:pPr>
      <w:r>
        <w:rPr/>
      </w:r>
    </w:p>
    <w:p>
      <w:pPr>
        <w:pStyle w:val="BodyText"/>
        <w:numPr>
          <w:ilvl w:val="0"/>
          <w:numId w:val="3"/>
        </w:numPr>
        <w:rPr/>
      </w:pPr>
      <w:r>
        <w:rPr/>
        <w:t xml:space="preserve">This Letter Agreement together with the Exhibits attached hereto set forth the entire agreement among HPL and Copano relating to the subject matter hereof and supersedes and replaces all previous discussions, undertakings and agreements regarding the subject matter of this Letter Agreement except for the Right-of-Way Agreement and the Interconnect Agreement  </w:t>
      </w:r>
    </w:p>
    <w:p>
      <w:pPr>
        <w:pStyle w:val="BodyText"/>
        <w:rPr/>
      </w:pPr>
      <w:r>
        <w:rPr/>
      </w:r>
    </w:p>
    <w:p>
      <w:pPr>
        <w:pStyle w:val="BodyText"/>
        <w:rPr/>
      </w:pPr>
      <w:r>
        <w:rPr/>
        <w:t xml:space="preserve">If the foregoing is agreeable to you with regard to the final resolution of Copano’s easement rights at HPL’s Bammel Facility, please execute the enclosed copies of this Letter Agreement and return the executed originals to my attention at the letterhead address listed above.  Upon receipt of the executed copies, HPL will obtain execution of the documents and return one original for your files.  </w:t>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t>HOUSTON PIPE LINE COMPANY</w:t>
      </w:r>
    </w:p>
    <w:p>
      <w:pPr>
        <w:pStyle w:val="BodyText"/>
        <w:rPr/>
      </w:pPr>
      <w:r>
        <w:rPr/>
      </w:r>
    </w:p>
    <w:p>
      <w:pPr>
        <w:pStyle w:val="BodyText"/>
        <w:rPr/>
      </w:pPr>
      <w:r>
        <w:rPr/>
        <w:t>_________________________</w:t>
      </w:r>
    </w:p>
    <w:p>
      <w:pPr>
        <w:pStyle w:val="BodyText"/>
        <w:rPr/>
      </w:pPr>
      <w:r>
        <w:rPr/>
        <w:t>By:</w:t>
        <w:tab/>
        <w:t>Cheryl Lantz Marshall</w:t>
      </w:r>
    </w:p>
    <w:p>
      <w:pPr>
        <w:pStyle w:val="BodyText"/>
        <w:rPr/>
      </w:pPr>
      <w:r>
        <w:rPr/>
        <w:tab/>
        <w:t>Manager – Gas Assets</w:t>
      </w:r>
    </w:p>
    <w:p>
      <w:pPr>
        <w:pStyle w:val="BodyText"/>
        <w:rPr/>
      </w:pPr>
      <w:r>
        <w:rPr/>
      </w:r>
    </w:p>
    <w:p>
      <w:pPr>
        <w:pStyle w:val="BodyText"/>
        <w:rPr/>
      </w:pPr>
      <w:r>
        <w:rPr/>
      </w:r>
    </w:p>
    <w:p>
      <w:pPr>
        <w:pStyle w:val="BodyText"/>
        <w:rPr/>
      </w:pPr>
      <w:r>
        <w:rPr/>
        <w:t>AGREED AND ACCEPTED THIS ______ day of _________________, 2000.</w:t>
      </w:r>
    </w:p>
    <w:p>
      <w:pPr>
        <w:pStyle w:val="BodyText"/>
        <w:rPr/>
      </w:pPr>
      <w:r>
        <w:rPr/>
      </w:r>
    </w:p>
    <w:p>
      <w:pPr>
        <w:pStyle w:val="BodyText"/>
        <w:rPr/>
      </w:pPr>
      <w:r>
        <w:rPr/>
      </w:r>
    </w:p>
    <w:p>
      <w:pPr>
        <w:pStyle w:val="BodyText"/>
        <w:rPr/>
      </w:pPr>
      <w:r>
        <w:rPr/>
        <w:t>COPANO ENERGY SERVICES</w:t>
        <w:tab/>
        <w:tab/>
        <w:t>HOUSTON PIPE LINE COMPANY</w:t>
      </w:r>
    </w:p>
    <w:p>
      <w:pPr>
        <w:pStyle w:val="BodyText"/>
        <w:rPr/>
      </w:pPr>
      <w:r>
        <w:rPr/>
      </w:r>
    </w:p>
    <w:p>
      <w:pPr>
        <w:pStyle w:val="BodyText"/>
        <w:rPr/>
      </w:pPr>
      <w:r>
        <w:rPr/>
      </w:r>
    </w:p>
    <w:p>
      <w:pPr>
        <w:pStyle w:val="BodyText"/>
        <w:rPr/>
      </w:pPr>
      <w:r>
        <w:rPr/>
        <w:t>__________________________</w:t>
        <w:tab/>
        <w:tab/>
        <w:t>____________________________</w:t>
      </w:r>
    </w:p>
    <w:p>
      <w:pPr>
        <w:pStyle w:val="Normal"/>
        <w:ind w:hanging="3600" w:start="3600" w:end="0"/>
        <w:rPr>
          <w:rFonts w:ascii="Arial" w:hAnsi="Arial" w:cs="Arial"/>
          <w:sz w:val="24"/>
        </w:rPr>
      </w:pPr>
      <w:r>
        <w:rPr>
          <w:rFonts w:cs="Arial" w:ascii="Arial" w:hAnsi="Arial"/>
          <w:sz w:val="24"/>
        </w:rPr>
        <w:t>By: _______________________</w:t>
        <w:tab/>
        <w:tab/>
        <w:t>By:</w:t>
        <w:tab/>
        <w:t>Stephen Schneider</w:t>
      </w:r>
    </w:p>
    <w:p>
      <w:pPr>
        <w:pStyle w:val="Normal"/>
        <w:jc w:val="both"/>
        <w:rPr>
          <w:rFonts w:ascii="Arial" w:hAnsi="Arial" w:cs="Arial"/>
          <w:sz w:val="24"/>
        </w:rPr>
      </w:pPr>
      <w:r>
        <w:rPr>
          <w:rFonts w:cs="Arial" w:ascii="Arial" w:hAnsi="Arial"/>
          <w:sz w:val="24"/>
        </w:rPr>
        <w:t>Title: ______________________</w:t>
        <w:tab/>
        <w:tab/>
        <w:tab/>
        <w:t>Vice President</w:t>
        <w:tab/>
        <w:tab/>
        <w:tab/>
        <w:tab/>
        <w:tab/>
        <w:tab/>
        <w:tab/>
        <w:tab/>
        <w:tab/>
        <w:tab/>
        <w:tab/>
        <w:tab/>
        <w:tab/>
      </w:r>
    </w:p>
    <w:p>
      <w:pPr>
        <w:pStyle w:val="BodyText"/>
        <w:rPr>
          <w:rFonts w:ascii="Arial" w:hAnsi="Arial" w:cs="Arial"/>
          <w:sz w:val="24"/>
        </w:rPr>
      </w:pPr>
      <w:r>
        <w:rPr>
          <w:rFonts w:cs="Arial"/>
          <w:sz w:val="24"/>
        </w:rPr>
      </w:r>
      <w:r>
        <w:br w:type="page"/>
      </w:r>
    </w:p>
    <w:p>
      <w:pPr>
        <w:pStyle w:val="Heading"/>
        <w:rPr>
          <w:sz w:val="24"/>
        </w:rPr>
      </w:pPr>
      <w:r>
        <w:rPr>
          <w:sz w:val="24"/>
        </w:rPr>
        <w:t>Exhibit “A”</w:t>
      </w:r>
    </w:p>
    <w:p>
      <w:pPr>
        <w:pStyle w:val="Heading"/>
        <w:rPr>
          <w:sz w:val="24"/>
        </w:rPr>
      </w:pPr>
      <w:r>
        <w:rPr>
          <w:sz w:val="24"/>
        </w:rPr>
        <w:t>FORM OF AGREEMENT TO INTERCONNECT</w:t>
      </w:r>
    </w:p>
    <w:p>
      <w:pPr>
        <w:pStyle w:val="Heading"/>
        <w:rPr>
          <w:sz w:val="24"/>
        </w:rPr>
      </w:pPr>
      <w:r>
        <w:rPr>
          <w:rFonts w:eastAsia="Arial"/>
          <w:sz w:val="24"/>
        </w:rPr>
        <w:t xml:space="preserve"> </w:t>
      </w:r>
      <w:r>
        <w:rPr>
          <w:sz w:val="24"/>
        </w:rPr>
        <w:t>AND OPERATE PIPELINE MEASUREMENT FACILITIES</w:t>
      </w:r>
    </w:p>
    <w:p>
      <w:pPr>
        <w:pStyle w:val="Heading"/>
        <w:rPr>
          <w:sz w:val="24"/>
        </w:rPr>
      </w:pPr>
      <w:r>
        <w:rPr>
          <w:sz w:val="24"/>
        </w:rPr>
      </w:r>
    </w:p>
    <w:p>
      <w:pPr>
        <w:pStyle w:val="Heading"/>
        <w:rPr>
          <w:b/>
          <w:i/>
          <w:i/>
          <w:sz w:val="24"/>
        </w:rPr>
      </w:pPr>
      <w:r>
        <w:rPr>
          <w:b/>
          <w:i/>
          <w:sz w:val="24"/>
        </w:rPr>
        <w:t>EXHIBIT ONLY - NOT FOR EXECUTION</w:t>
      </w:r>
    </w:p>
    <w:p>
      <w:pPr>
        <w:pStyle w:val="Heading"/>
        <w:rPr>
          <w:b/>
          <w:i/>
          <w:i/>
          <w:sz w:val="24"/>
        </w:rPr>
      </w:pPr>
      <w:r>
        <w:rPr>
          <w:b/>
          <w:i/>
          <w:sz w:val="24"/>
        </w:rPr>
      </w:r>
      <w:r>
        <w:br w:type="page"/>
      </w:r>
    </w:p>
    <w:p>
      <w:pPr>
        <w:pStyle w:val="Heading"/>
        <w:rPr>
          <w:b/>
          <w:bCs/>
          <w:i/>
          <w:i/>
          <w:iCs/>
          <w:sz w:val="24"/>
          <w:u w:val="none"/>
        </w:rPr>
      </w:pPr>
      <w:r>
        <w:rPr>
          <w:b/>
          <w:bCs/>
          <w:i/>
          <w:iCs/>
          <w:sz w:val="24"/>
          <w:u w:val="none"/>
        </w:rPr>
      </w:r>
    </w:p>
    <w:p>
      <w:pPr>
        <w:pStyle w:val="Heading"/>
        <w:rPr>
          <w:sz w:val="24"/>
        </w:rPr>
      </w:pPr>
      <w:r>
        <w:rPr>
          <w:sz w:val="24"/>
        </w:rPr>
        <w:t>Exhibit “B”</w:t>
      </w:r>
    </w:p>
    <w:p>
      <w:pPr>
        <w:pStyle w:val="Heading"/>
        <w:rPr>
          <w:sz w:val="24"/>
        </w:rPr>
      </w:pPr>
      <w:r>
        <w:rPr>
          <w:sz w:val="24"/>
        </w:rPr>
        <w:t>FORM OF RIGHT OF WAY AGREEMENT</w:t>
      </w:r>
    </w:p>
    <w:p>
      <w:pPr>
        <w:pStyle w:val="Heading"/>
        <w:rPr>
          <w:sz w:val="24"/>
        </w:rPr>
      </w:pPr>
      <w:r>
        <w:rPr>
          <w:sz w:val="24"/>
        </w:rPr>
      </w:r>
    </w:p>
    <w:p>
      <w:pPr>
        <w:pStyle w:val="Heading"/>
        <w:rPr>
          <w:bCs/>
          <w:iCs/>
          <w:sz w:val="24"/>
          <w:u w:val="none"/>
        </w:rPr>
      </w:pPr>
      <w:r>
        <w:rPr>
          <w:b/>
          <w:i/>
          <w:sz w:val="24"/>
        </w:rPr>
        <w:t>EXHIBIT ONLY - NOT FOR EXECUTION</w:t>
      </w:r>
    </w:p>
    <w:p>
      <w:pPr>
        <w:pStyle w:val="Heading"/>
        <w:rPr>
          <w:bCs/>
          <w:iCs/>
          <w:sz w:val="24"/>
          <w:u w:val="none"/>
        </w:rPr>
      </w:pPr>
      <w:r>
        <w:rPr>
          <w:bCs/>
          <w:iCs/>
          <w:sz w:val="24"/>
          <w:u w:val="none"/>
        </w:rPr>
      </w:r>
    </w:p>
    <w:p>
      <w:pPr>
        <w:pStyle w:val="Heading"/>
        <w:rPr>
          <w:bCs/>
          <w:iCs/>
          <w:sz w:val="24"/>
          <w:u w:val="none"/>
        </w:rPr>
      </w:pPr>
      <w:r>
        <w:rPr>
          <w:bCs/>
          <w:iCs/>
          <w:sz w:val="24"/>
          <w:u w:val="none"/>
        </w:rPr>
      </w:r>
    </w:p>
    <w:p>
      <w:pPr>
        <w:pStyle w:val="Normal"/>
        <w:jc w:val="both"/>
        <w:rPr>
          <w:rFonts w:ascii="Arial" w:hAnsi="Arial" w:cs="Arial"/>
          <w:bCs/>
          <w:iCs/>
          <w:sz w:val="24"/>
          <w:u w:val="none"/>
        </w:rPr>
      </w:pPr>
      <w:r>
        <w:rPr>
          <w:rFonts w:cs="Arial" w:ascii="Arial" w:hAnsi="Arial"/>
          <w:bCs/>
          <w:iCs/>
          <w:sz w:val="24"/>
          <w:u w:val="none"/>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r>
    </w:p>
    <w:sectPr>
      <w:headerReference w:type="default" r:id="rId2"/>
      <w:headerReference w:type="first" r:id="rId3"/>
      <w:footerReference w:type="default" r:id="rId4"/>
      <w:footerReference w:type="first" r:id="rId5"/>
      <w:type w:val="nextPage"/>
      <w:pgSz w:w="12240" w:h="15840"/>
      <w:pgMar w:left="1800" w:right="1800" w:gutter="0" w:header="720" w:top="187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O:common/legal/egillas/letters</w:t>
    </w:r>
  </w:p>
  <w:p>
    <w:pPr>
      <w:pStyle w:val="Footer"/>
      <w:rPr>
        <w:rFonts w:ascii="Arial" w:hAnsi="Arial" w:cs="Arial"/>
        <w:sz w:val="16"/>
      </w:rPr>
    </w:pPr>
    <w:r>
      <w:rPr>
        <w:rFonts w:cs="Arial" w:ascii="Arial" w:hAnsi="Arial"/>
        <w:sz w:val="16"/>
      </w:rPr>
      <w:t>Copano Letter Agreement.doc</w:t>
    </w:r>
  </w:p>
  <w:p>
    <w:pPr>
      <w:pStyle w:val="Footer"/>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b/>
      </w:rPr>
      <w:t xml:space="preserve">DRAFT, </w:t>
    </w:r>
    <w:r>
      <w:rPr>
        <w:b/>
        <w:i/>
        <w:iCs/>
      </w:rPr>
      <w:t>For Discussion Purposes Only</w:t>
    </w:r>
  </w:p>
  <w:p>
    <w:pPr>
      <w:pStyle w:val="Header"/>
      <w:rPr>
        <w:rFonts w:ascii="Arial" w:hAnsi="Arial" w:cs="Arial"/>
        <w:sz w:val="22"/>
      </w:rPr>
    </w:pPr>
    <w:r>
      <w:rPr>
        <w:rFonts w:cs="Arial" w:ascii="Arial" w:hAnsi="Arial"/>
        <w:sz w:val="22"/>
      </w:rPr>
      <w:t>June 10,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6</w:t>
    </w:r>
    <w:r>
      <w:rPr>
        <w:rStyle w:val="PageNumber"/>
        <w:sz w:val="22"/>
        <w:rFonts w:cs="Arial" w:ascii="Arial" w:hAnsi="Arial"/>
      </w:rPr>
      <w:fldChar w:fldCharType="end"/>
    </w:r>
    <w:r>
      <w:rPr>
        <w:rStyle w:val="PageNumber"/>
        <w:rFonts w:cs="Arial" w:ascii="Arial" w:hAnsi="Arial"/>
        <w:sz w:val="22"/>
      </w:rPr>
      <w:t xml:space="preserve"> of </w:t>
    </w:r>
    <w:r>
      <w:rPr>
        <w:rStyle w:val="PageNumber"/>
        <w:rFonts w:cs="Arial" w:ascii="Arial" w:hAnsi="Arial"/>
        <w:sz w:val="22"/>
      </w:rPr>
      <w:fldChar w:fldCharType="begin"/>
    </w:r>
    <w:r>
      <w:rPr>
        <w:rStyle w:val="PageNumber"/>
        <w:sz w:val="22"/>
        <w:rFonts w:cs="Arial" w:ascii="Arial" w:hAnsi="Arial"/>
      </w:rPr>
      <w:instrText xml:space="preserve"> NUMPAGES \* ARABIC </w:instrText>
    </w:r>
    <w:r>
      <w:rPr>
        <w:rStyle w:val="PageNumber"/>
        <w:sz w:val="22"/>
        <w:rFonts w:cs="Arial" w:ascii="Arial" w:hAnsi="Arial"/>
      </w:rPr>
      <w:fldChar w:fldCharType="separate"/>
    </w:r>
    <w:r>
      <w:rPr>
        <w:rStyle w:val="PageNumber"/>
        <w:sz w:val="22"/>
        <w:rFonts w:cs="Arial" w:ascii="Arial" w:hAnsi="Arial"/>
      </w:rPr>
      <w:t>6</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800"/>
        </w:tabs>
        <w:ind w:start="1800" w:hanging="360"/>
      </w:pPr>
      <w:rPr/>
    </w:lvl>
    <w:lvl w:ilvl="1">
      <w:start w:val="1"/>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900" w:leader="none"/>
      </w:tabs>
      <w:jc w:val="center"/>
    </w:pPr>
    <w:rPr>
      <w:rFonts w:ascii="Arial" w:hAnsi="Arial" w:cs="Arial"/>
      <w:u w:val="single"/>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BodyText2">
    <w:name w:val="Body Text 2"/>
    <w:basedOn w:val="Normal"/>
    <w:qFormat/>
    <w:pPr>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2000-06-02T18:55:00Z</dcterms:created>
  <dc:creator>ann elizabeth white</dc:creator>
  <dc:description/>
  <dc:language>en-CA</dc:language>
  <cp:lastModifiedBy>egillas</cp:lastModifiedBy>
  <cp:lastPrinted>2000-06-07T17:08:00Z</cp:lastPrinted>
  <dcterms:modified xsi:type="dcterms:W3CDTF">2000-06-07T19:38:00Z</dcterms:modified>
  <cp:revision>52</cp:revision>
  <dc:subject/>
  <dc:title>November 23, 1998</dc:title>
</cp:coreProperties>
</file>