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360"/>
        <w:rPr/>
      </w:pPr>
      <w:r>
        <w:rPr/>
        <w:t>Memorandum</w:t>
      </w:r>
    </w:p>
    <w:p>
      <w:pPr>
        <w:pStyle w:val="Normal"/>
        <w:spacing w:before="0" w:after="720"/>
        <w:rPr/>
      </w:pPr>
      <w:r>
        <w:rPr/>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tblHeading"/>
              <w:spacing w:before="0" w:after="120"/>
              <w:rPr/>
            </w:pPr>
            <w:r>
              <w:rPr/>
              <w:t>To:</w:t>
            </w:r>
          </w:p>
        </w:tc>
        <w:tc>
          <w:tcPr>
            <w:tcW w:w="8136" w:type="dxa"/>
            <w:tcBorders/>
          </w:tcPr>
          <w:p>
            <w:pPr>
              <w:pStyle w:val="tblText"/>
              <w:spacing w:before="0" w:after="120"/>
              <w:ind w:hanging="0" w:start="0" w:end="216"/>
              <w:rPr/>
            </w:pPr>
            <w:r>
              <w:rPr/>
              <w:t>Richard Sanders</w:t>
            </w:r>
          </w:p>
        </w:tc>
      </w:tr>
      <w:tr>
        <w:trPr/>
        <w:tc>
          <w:tcPr>
            <w:tcW w:w="1440" w:type="dxa"/>
            <w:tcBorders/>
          </w:tcPr>
          <w:p>
            <w:pPr>
              <w:pStyle w:val="tblHeading"/>
              <w:spacing w:before="0" w:after="120"/>
              <w:rPr/>
            </w:pPr>
            <w:r>
              <w:rPr/>
              <w:t>From:</w:t>
            </w:r>
          </w:p>
        </w:tc>
        <w:tc>
          <w:tcPr>
            <w:tcW w:w="8136" w:type="dxa"/>
            <w:tcBorders/>
          </w:tcPr>
          <w:p>
            <w:pPr>
              <w:pStyle w:val="tblText"/>
              <w:spacing w:before="0" w:after="120"/>
              <w:ind w:hanging="0" w:start="0" w:end="216"/>
              <w:rPr/>
            </w:pPr>
            <w:r>
              <w:rPr/>
              <w:t>Steve Howard</w:t>
            </w:r>
          </w:p>
        </w:tc>
      </w:tr>
      <w:tr>
        <w:trPr/>
        <w:tc>
          <w:tcPr>
            <w:tcW w:w="1440" w:type="dxa"/>
            <w:tcBorders/>
          </w:tcPr>
          <w:p>
            <w:pPr>
              <w:pStyle w:val="tblHeading"/>
              <w:spacing w:before="0" w:after="120"/>
              <w:rPr/>
            </w:pPr>
            <w:r>
              <w:rPr/>
              <w:t>Date:</w:t>
            </w:r>
          </w:p>
        </w:tc>
        <w:tc>
          <w:tcPr>
            <w:tcW w:w="8136" w:type="dxa"/>
            <w:tcBorders/>
          </w:tcPr>
          <w:p>
            <w:pPr>
              <w:pStyle w:val="MemoDate"/>
              <w:spacing w:before="0" w:after="120"/>
              <w:rPr/>
            </w:pPr>
            <w:r>
              <w:rPr/>
              <w:t>March 27, 2001</w:t>
            </w:r>
          </w:p>
        </w:tc>
      </w:tr>
      <w:tr>
        <w:trPr/>
        <w:tc>
          <w:tcPr>
            <w:tcW w:w="1440" w:type="dxa"/>
            <w:tcBorders/>
          </w:tcPr>
          <w:p>
            <w:pPr>
              <w:pStyle w:val="tblHeading"/>
              <w:spacing w:before="0" w:after="120"/>
              <w:rPr/>
            </w:pPr>
            <w:r>
              <w:rPr/>
              <w:t>In Re:</w:t>
            </w:r>
          </w:p>
        </w:tc>
        <w:tc>
          <w:tcPr>
            <w:tcW w:w="8136" w:type="dxa"/>
            <w:tcBorders/>
          </w:tcPr>
          <w:p>
            <w:pPr>
              <w:pStyle w:val="tblText"/>
              <w:spacing w:before="0" w:after="120"/>
              <w:ind w:hanging="0" w:start="0" w:end="216"/>
              <w:rPr/>
            </w:pPr>
            <w:r>
              <w:rPr/>
              <w:t>Deposition of Joseph Gibson Cooper</w:t>
            </w:r>
          </w:p>
        </w:tc>
      </w:tr>
      <w:tr>
        <w:trPr/>
        <w:tc>
          <w:tcPr>
            <w:tcW w:w="1440" w:type="dxa"/>
            <w:tcBorders/>
          </w:tcPr>
          <w:p>
            <w:pPr>
              <w:pStyle w:val="tblHeading"/>
              <w:spacing w:before="0" w:after="120"/>
              <w:rPr/>
            </w:pPr>
            <w:r>
              <w:rPr/>
              <w:t>File No.:</w:t>
            </w:r>
          </w:p>
        </w:tc>
        <w:tc>
          <w:tcPr>
            <w:tcW w:w="8136" w:type="dxa"/>
            <w:tcBorders/>
          </w:tcPr>
          <w:p>
            <w:pPr>
              <w:pStyle w:val="tblText"/>
              <w:spacing w:before="0" w:after="120"/>
              <w:ind w:hanging="0" w:start="0" w:end="216"/>
              <w:rPr/>
            </w:pPr>
            <w:r>
              <w:rPr/>
              <w:t>12169.202244</w:t>
            </w:r>
          </w:p>
        </w:tc>
      </w:tr>
      <w:tr>
        <w:trPr/>
        <w:tc>
          <w:tcPr>
            <w:tcW w:w="9576" w:type="dxa"/>
            <w:gridSpan w:val="2"/>
            <w:tcBorders>
              <w:top w:val="single" w:sz="12" w:space="0" w:color="000000"/>
            </w:tcBorders>
            <w:tcMar>
              <w:start w:w="108" w:type="dxa"/>
              <w:end w:w="108" w:type="dxa"/>
            </w:tcMar>
          </w:tcPr>
          <w:p>
            <w:pPr>
              <w:pStyle w:val="Normal"/>
              <w:snapToGrid w:val="false"/>
              <w:rPr/>
            </w:pPr>
            <w:r>
              <w:rPr/>
            </w:r>
          </w:p>
        </w:tc>
      </w:tr>
    </w:tbl>
    <w:p>
      <w:pPr>
        <w:pStyle w:val="BodyText"/>
        <w:rPr/>
      </w:pPr>
      <w:r>
        <w:rPr/>
        <w:t>The deposition of Gib Cooper of Western Asset Management, investment adviser to the Legg Mason fund that bought the NSM bonds, was completed in our offices on Monday, March 26, 2001.  I asked questions for a couple of hours; other counsel asked even less; and, for reasons that I could not fathom, Legg Mason’s lawyer went through a half hour of carefully scripted, self-serving questions and answers.</w:t>
      </w:r>
    </w:p>
    <w:p>
      <w:pPr>
        <w:pStyle w:val="BodyText"/>
        <w:rPr/>
      </w:pPr>
      <w:r>
        <w:rPr/>
        <w:t>There was a major change in Cooper’s demeanor in this session of his deposition as compared with his last one.  Previously he professed absolutely no knowledge of anything relevant and just wanted to get out of the room.  This time he was stretching to claim involvement and knowledge that was not there.  Clearly Legg Mason’s lawyers have concluded that Cooper is the only witness that they have and have leaned on him to be more identified with the suit.</w:t>
      </w:r>
    </w:p>
    <w:p>
      <w:pPr>
        <w:pStyle w:val="BodyText"/>
        <w:rPr/>
      </w:pPr>
      <w:r>
        <w:rPr/>
        <w:t xml:space="preserve">That said, it remains clear that Cooper had no role in Trudy Whitehead’s decision to purchase $5 million of NSM senior subordinated notes in the secondary market on March 24, 1998 (nearly four weeks after the initial offering.)  I got Cooper to admit that, based on his own review of the preliminary offering memorandum and its supplement, Cooper had not been sufficiently interested in the NSM investment to pursue it further or recommend it to his boss, Trudy, or even to initiate a discussion of NSM with her.  (Cooper believes, but has no direct evidence, that Trudy looked at a possible purchase of the NSM bonds in the initial offering and passed for some reason, quite independent of what Cooper was doing.)  Cooper said that there was no indication that, at the time that Legg Mason purchased its NSM bonds, either Trudy Whitehead or anyone else at Western Asset Management was aware that Cooper had looked at the NSM bonds at the initial offering stage and passed. </w:t>
      </w:r>
    </w:p>
    <w:p>
      <w:pPr>
        <w:pStyle w:val="BodyText"/>
        <w:rPr/>
      </w:pPr>
      <w:r>
        <w:rPr/>
        <w:t>Cooper testified differently this time from previously on several matters, but not critical things.  There may be some impeachment material here, but nothing more.</w:t>
      </w:r>
    </w:p>
    <w:p>
      <w:pPr>
        <w:pStyle w:val="BodyText"/>
        <w:rPr/>
      </w:pPr>
      <w:r>
        <w:rPr/>
        <w:t>Legg Mason has a new theory about why it bought its bonds from ECT Securities (as well as the other initial purchasers), and Legg Mason may have a point.  Western Asset Management’s records show that it bought its NSM bonds on March 24</w:t>
      </w:r>
      <w:r>
        <w:rPr>
          <w:vertAlign w:val="superscript"/>
        </w:rPr>
        <w:t>th</w:t>
      </w:r>
      <w:r>
        <w:rPr/>
        <w:t xml:space="preserve"> </w:t>
      </w:r>
      <w:r>
        <w:rPr>
          <w:u w:val="single"/>
        </w:rPr>
        <w:t>from Natwest</w:t>
      </w:r>
      <w:r>
        <w:rPr/>
        <w:t xml:space="preserve">.  Natwest’s records show the same transaction as a sale to Western Asset Management </w:t>
      </w:r>
      <w:r>
        <w:rPr>
          <w:u w:val="single"/>
        </w:rPr>
        <w:t>out of an account at Natwest called “High Yield Syndicate Account</w:t>
      </w:r>
      <w:r>
        <w:rPr/>
        <w:t xml:space="preserve">.”  One Natwest employee (who did not really know) has testified that this account was probably owned/held by the underwriting group; and Cooper testified, on the basis of “hundreds” of conversations with colleagues in the securities industry (not one of whom he could name), that accounts bearing such names are always owned by the underwriters or initial purchasers.  To date, Natwest has fought to avoid identifying the holder(s) of this account in written discovery.  I note that portions of the Natwest records of this account that have been produced have been redacted, suggesting that the account may hold securities other than NSM securities as well as NSM securities (which would suggest that ECT Securities could not be an account holder.)  Two other facts, negative for us, are (1) all of the sales in the initial offering on March 2, 1998, were made out of the same high yield securities account at Natwest as the sale to Western Asset Management three and a half weeks later and (2) when Natwest distributed the underwriting fees to McDonald, PaineWebber, and ECT Securities, Natwest deducted pro rata shares of its costs of stabilizing the bonds, which could turn out to be the cumulative loss in the high yield syndicate account.)  </w:t>
      </w:r>
      <w:r>
        <w:rPr>
          <w:u w:val="single"/>
        </w:rPr>
        <w:t>This subject needs to be pursued</w:t>
      </w:r>
      <w:r>
        <w:rPr/>
        <w:t xml:space="preserve">.  If the High Yield Syndicate Account at Natwest is held by the four initial purchasers, ECT Securities could easily be deemed a seller of any securities sold out of that account. </w:t>
      </w:r>
    </w:p>
    <w:p>
      <w:pPr>
        <w:pStyle w:val="BodyText"/>
        <w:spacing w:lineRule="auto" w:line="240"/>
        <w:ind w:hanging="0" w:end="0"/>
        <w:rPr/>
      </w:pPr>
      <w:r>
        <w:rPr/>
        <w:t>Cc:  Roland Tellis</w:t>
      </w:r>
    </w:p>
    <w:p>
      <w:pPr>
        <w:pStyle w:val="BodyText"/>
        <w:spacing w:lineRule="auto" w:line="240" w:before="0" w:after="240"/>
        <w:ind w:hanging="0" w:end="0"/>
        <w:rPr/>
      </w:pPr>
      <w:r>
        <w:rPr>
          <w:rFonts w:eastAsia="Berkeley"/>
        </w:rPr>
        <w:t xml:space="preserve">        </w:t>
      </w:r>
      <w:r>
        <w:rPr/>
        <w:t>Jonathan Goldblatt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408"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rkele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5943600" cy="139700"/>
              <wp:effectExtent l="0" t="0" r="0" b="0"/>
              <wp:wrapNone/>
              <wp:docPr id="1" name="Frame2"/>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556898_1.DOC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556898_1.DOC</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5943600" cy="139700"/>
              <wp:effectExtent l="0" t="0" r="0" b="0"/>
              <wp:wrapNone/>
              <wp:docPr id="2" name="Frame1"/>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sz w:val="18"/>
                            </w:rPr>
                          </w:pPr>
                          <w:r>
                            <w:rPr>
                              <w:sz w:val="18"/>
                            </w:rPr>
                            <w:t>556898_1.DOC</w:t>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tabs>
                        <w:tab w:val="clear" w:pos="720"/>
                        <w:tab w:val="center" w:pos="4680" w:leader="none"/>
                        <w:tab w:val="right" w:pos="9360" w:leader="none"/>
                      </w:tabs>
                      <w:rPr>
                        <w:sz w:val="18"/>
                      </w:rPr>
                    </w:pPr>
                    <w:r>
                      <w:rPr>
                        <w:sz w:val="18"/>
                      </w:rPr>
                      <w:t>556898_1.DOC</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spacing w:before="0" w:after="480"/>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tterhead"/>
      <w:rPr>
        <w:spacing w:val="80"/>
        <w:sz w:val="32"/>
      </w:rPr>
    </w:pPr>
    <w:bookmarkStart w:id="0" w:name="zzmpFIXED_LHFirstPage"/>
    <w:bookmarkEnd w:id="0"/>
    <w:r>
      <w:rPr>
        <w:spacing w:val="80"/>
        <w:sz w:val="32"/>
      </w:rPr>
      <w:t>ALSCHULER GROSSMAN STEIN &amp; KAHAN LLP</w:t>
    </w:r>
  </w:p>
  <w:p>
    <w:pPr>
      <w:pStyle w:val="Letterhead"/>
      <w:spacing w:before="40" w:after="0"/>
      <w:rPr>
        <w:spacing w:val="80"/>
        <w:sz w:val="22"/>
      </w:rPr>
    </w:pPr>
    <w:r>
      <w:rPr>
        <w:spacing w:val="80"/>
        <w:sz w:val="22"/>
      </w:rPr>
      <w:t>ATTORNEYS AT LAW</w:t>
    </w:r>
  </w:p>
  <w:p>
    <w:pPr>
      <w:pStyle w:val="Header"/>
      <w:rPr>
        <w:spacing w:val="80"/>
        <w:sz w:val="22"/>
      </w:rPr>
    </w:pPr>
    <w:r>
      <w:rPr>
        <w:spacing w:val="80"/>
        <w:sz w:val="22"/>
      </w:rPr>
    </w:r>
    <w:bookmarkStart w:id="1" w:name="zzmpFIXED_LHFirstPage"/>
    <w:bookmarkStart w:id="2" w:name="zzmpFIXED_LHFirstPage"/>
    <w:bookmarkEnd w:id="2"/>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pfile" w:val="Memo.mbp"/>
    <w:docVar w:name="DocStamp_1_DocID" w:val="C:\NrPortbl\Docs\SHOWARD\556898_1.DOC"/>
    <w:docVar w:name="DocStamp_1_IncludeDate" w:val="False"/>
    <w:docVar w:name="DocStamp_1_IncludeDraftText" w:val="False"/>
    <w:docVar w:name="DocStamp_1_IncludeTime" w:val="False"/>
    <w:docVar w:name="DocStamp_1_InsertDateAsField" w:val="False"/>
    <w:docVar w:name="DocStamp_1_TypeID" w:val="1"/>
    <w:docVar w:name="Memo_1_Alignment" w:val="0"/>
    <w:docVar w:name="Memo_1_Author" w:val="2231"/>
    <w:docVar w:name="Memo_1_ClientMatterNumber" w:val="12169.202244"/>
    <w:docVar w:name="Memo_1_DateType" w:val="mmmm d, yyyy"/>
    <w:docVar w:name="Memo_1_FirstLineIndent" w:val="1"/>
    <w:docVar w:name="Memo_1_FontName" w:val="Berkeley"/>
    <w:docVar w:name="Memo_1_FontSize" w:val="12"/>
    <w:docVar w:name="Memo_1_From" w:val="Steve Howard"/>
    <w:docVar w:name="Memo_1_IncludeDPhrasesInHeader" w:val="0"/>
    <w:docVar w:name="Memo_1_Reline" w:val="Deposition of Joseph Gibson Cooper"/>
    <w:docVar w:name="MemoLH_1_Author" w:val="2231"/>
    <w:docVar w:name="MemoLH_1_IncludeLetterheadEMail" w:val="-1"/>
    <w:docVar w:name="MemoLH_1_IncludeLetterheadFax" w:val="0"/>
    <w:docVar w:name="MemoLH_1_IncludeLetterheadName" w:val="-1"/>
    <w:docVar w:name="MemoLH_1_IncludeLetterheadPhone" w:val="-1"/>
    <w:docVar w:name="MemoLH_1_IncludeLetterheadTitle" w:val="-1"/>
    <w:docVar w:name="MemoLH_1_LetterheadEMail" w:val="showard@agsk.com"/>
    <w:docVar w:name="MemoLH_1_LetterheadFirmFax" w:val="310-552-6077"/>
    <w:docVar w:name="MemoLH_1_LetterheadFirmName" w:val="Alschuler Grossman Stein &amp; Kahan LLP"/>
    <w:docVar w:name="MemoLH_1_LetterheadFirmPhone" w:val="310-277-1226"/>
    <w:docVar w:name="MemoLH_1_LetterheadFirmURL" w:val="www.sflaw.com"/>
    <w:docVar w:name="MemoLH_1_LetterheadName" w:val="C. Stephen Howard"/>
    <w:docVar w:name="MemoLH_1_LetterheadPhone" w:val="310-407-7613"/>
    <w:docVar w:name="MemoLH_1_LetterheadTitle" w:val="Attorney At Law"/>
    <w:docVar w:name="MemoLH_1_LetterheadType" w:val="4"/>
    <w:docVar w:name="MPDocID" w:val="C:\NrPortbl\Docs\SHOWARD\556898_1.DOC"/>
    <w:docVar w:name="ReUseAuthor" w:val="2231|Howard, Steve|showard@agsk.com||Steve|C. Stephen Howard||CSH|2091\California Bar ID\43434\True|True|Howard||1|310-407-7613|Attorney At Law"/>
    <w:docVar w:name="ReuseAuthorOptions" w:val="fldID??-99999999|fldLastEditTime??1/20/00 5:38:25 PM|cmbLetterheadType??4|chkIncludeLetterheadName??-1|chkIncludeLetterheadPhone??-1|chkIncludeLetterheadEMail??-1|chkIncludeLetterheadTitle??-1|chkIncludeLetterheadFax??0|cmbDateType??mmmm d, yyyy|cmbBodyTextAlignment??0|spnBodyTextFirstLineIndent??1|cmbNormalFontName??Berkeley|spnNormalFontSize??12"/>
    <w:docVar w:name="zzmpFixed_MacPacVersion" w:val="9.0"/>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rkeley" w:hAnsi="Berkeley" w:eastAsia="Times New Roman" w:cs="Berkeley"/>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120" w:after="360"/>
      <w:jc w:val="center"/>
      <w:outlineLvl w:val="0"/>
    </w:pPr>
    <w:rPr>
      <w:b/>
      <w:caps/>
      <w:spacing w:val="40"/>
      <w:sz w:val="28"/>
    </w:rPr>
  </w:style>
  <w:style w:type="paragraph" w:styleId="BodyText">
    <w:name w:val="Body Text"/>
    <w:basedOn w:val="Normal"/>
    <w:pPr>
      <w:spacing w:lineRule="auto" w:line="480"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tterhead">
    <w:name w:val="Letterhead"/>
    <w:qFormat/>
    <w:pPr>
      <w:widowControl/>
      <w:tabs>
        <w:tab w:val="clear" w:pos="720"/>
        <w:tab w:val="center" w:pos="1886" w:leader="none"/>
      </w:tabs>
      <w:bidi w:val="0"/>
      <w:jc w:val="center"/>
    </w:pPr>
    <w:rPr>
      <w:rFonts w:ascii="Berkeley" w:hAnsi="Berkeley" w:eastAsia="Times New Roman" w:cs="Berkeley"/>
      <w:color w:val="auto"/>
      <w:spacing w:val="2"/>
      <w:sz w:val="16"/>
      <w:szCs w:val="20"/>
      <w:lang w:val="en-US" w:eastAsia="en-CA" w:bidi="ar-SA"/>
    </w:rPr>
  </w:style>
  <w:style w:type="paragraph" w:styleId="DeliveryPhrase">
    <w:name w:val="Delivery Phrase"/>
    <w:basedOn w:val="Normal"/>
    <w:qFormat/>
    <w:pPr/>
    <w:rPr>
      <w:b/>
      <w:smallCaps/>
    </w:rPr>
  </w:style>
  <w:style w:type="paragraph" w:styleId="tblText">
    <w:name w:val="tbl Text"/>
    <w:basedOn w:val="Normal"/>
    <w:qFormat/>
    <w:pPr>
      <w:spacing w:before="0" w:after="120"/>
      <w:ind w:hanging="0" w:start="0" w:end="216"/>
    </w:pPr>
    <w:rPr/>
  </w:style>
  <w:style w:type="paragraph" w:styleId="MemoDate">
    <w:name w:val="Memo Date"/>
    <w:basedOn w:val="tblText"/>
    <w:qFormat/>
    <w:pPr/>
    <w:rPr/>
  </w:style>
  <w:style w:type="paragraph" w:styleId="MemoSignatureSub">
    <w:name w:val="Memo Signature Sub"/>
    <w:basedOn w:val="Normal"/>
    <w:qFormat/>
    <w:pPr>
      <w:spacing w:before="0" w:after="240"/>
      <w:ind w:hanging="720" w:start="720" w:end="0"/>
    </w:pPr>
    <w:rPr/>
  </w:style>
  <w:style w:type="paragraph" w:styleId="tblHeading">
    <w:name w:val="tbl Heading"/>
    <w:basedOn w:val="tblText"/>
    <w:qFormat/>
    <w:pPr/>
    <w:rPr>
      <w:b/>
    </w:rPr>
  </w:style>
  <w:style w:type="paragraph" w:styleId="BodyTextContinued">
    <w:name w:val="Body Text Continued"/>
    <w:basedOn w:val="BodyText"/>
    <w:next w:val="BodyText"/>
    <w:qFormat/>
    <w:pPr>
      <w:ind w:hanging="0" w:start="0" w:end="0"/>
    </w:pPr>
    <w:rPr/>
  </w:style>
  <w:style w:type="paragraph" w:styleId="Quote">
    <w:name w:val="Quote"/>
    <w:basedOn w:val="Normal"/>
    <w:next w:val="BodyTextContinued"/>
    <w:qFormat/>
    <w:pPr>
      <w:spacing w:before="0" w:after="240"/>
      <w:ind w:hanging="0" w:start="1440" w:end="1440"/>
    </w:pPr>
    <w:rPr/>
  </w:style>
  <w:style w:type="paragraph" w:styleId="MemoSignature">
    <w:name w:val="Memo Signature"/>
    <w:basedOn w:val="Normal"/>
    <w:qFormat/>
    <w:pPr>
      <w:keepNext w:val="true"/>
      <w:keepLines/>
      <w:ind w:hanging="0" w:start="4680" w:end="0"/>
    </w:pPr>
    <w:rPr/>
  </w:style>
  <w:style w:type="paragraph" w:styleId="LetterheadAuthor">
    <w:name w:val="Letterhead Author"/>
    <w:basedOn w:val="Letterhead"/>
    <w:qFormat/>
    <w:pPr>
      <w:tabs>
        <w:tab w:val="clear" w:pos="1886"/>
      </w:tabs>
      <w:ind w:hanging="0" w:start="115" w:end="43"/>
    </w:pPr>
    <w:rPr>
      <w:small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2001-03-28T00:51:00Z</dcterms:created>
  <dc:creator>Default</dc:creator>
  <dc:description/>
  <dc:language>en-CA</dc:language>
  <cp:lastModifiedBy>Default</cp:lastModifiedBy>
  <cp:lastPrinted>2001-03-27T19:10:00Z</cp:lastPrinted>
  <dcterms:modified xsi:type="dcterms:W3CDTF">2001-03-28T00:51:00Z</dcterms:modified>
  <cp:revision>2</cp:revision>
  <dc:subject/>
  <dc:title>MEMORANDUM</dc:title>
</cp:coreProperties>
</file>