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color w:val="000080"/>
                <w:sz w:val="16"/>
              </w:rPr>
            </w:pPr>
            <w:r>
              <w:rPr>
                <w:color w:val="000080"/>
                <w:sz w:val="16"/>
              </w:rPr>
              <w:t>To:</w:t>
            </w:r>
          </w:p>
        </w:tc>
        <w:tc>
          <w:tcPr>
            <w:tcW w:w="6045" w:type="dxa"/>
            <w:tcBorders/>
          </w:tcPr>
          <w:p>
            <w:pPr>
              <w:pStyle w:val="To"/>
              <w:rPr>
                <w:color w:val="000080"/>
              </w:rPr>
            </w:pPr>
            <w:bookmarkStart w:id="0" w:name="to"/>
            <w:bookmarkEnd w:id="0"/>
            <w:r>
              <w:rPr>
                <w:color w:val="000080"/>
              </w:rPr>
              <w:t>Jim Saunders</w:t>
            </w:r>
          </w:p>
        </w:tc>
        <w:tc>
          <w:tcPr>
            <w:tcW w:w="990" w:type="dxa"/>
            <w:tcBorders/>
          </w:tcPr>
          <w:p>
            <w:pPr>
              <w:pStyle w:val="Normal"/>
              <w:snapToGrid w:val="false"/>
              <w:ind w:start="-180" w:end="0"/>
              <w:rPr>
                <w:color w:val="000080"/>
              </w:rPr>
            </w:pPr>
            <w:r>
              <w:rPr>
                <w:color w:val="000080"/>
              </w:rPr>
            </w:r>
          </w:p>
        </w:tc>
        <w:tc>
          <w:tcPr>
            <w:tcW w:w="2965" w:type="dxa"/>
            <w:tcBorders/>
          </w:tcPr>
          <w:p>
            <w:pPr>
              <w:pStyle w:val="Normal"/>
              <w:snapToGrid w:val="false"/>
              <w:rPr>
                <w:color w:val="000080"/>
              </w:rPr>
            </w:pPr>
            <w:r>
              <w:rPr>
                <w:color w:val="000080"/>
              </w:rPr>
            </w:r>
          </w:p>
        </w:tc>
      </w:tr>
      <w:tr>
        <w:trPr>
          <w:trHeight w:val="216" w:hRule="exact"/>
        </w:trPr>
        <w:tc>
          <w:tcPr>
            <w:tcW w:w="708" w:type="dxa"/>
            <w:tcBorders/>
          </w:tcPr>
          <w:p>
            <w:pPr>
              <w:pStyle w:val="Normal"/>
              <w:snapToGrid w:val="false"/>
              <w:ind w:start="-180" w:end="0"/>
              <w:jc w:val="end"/>
              <w:rPr>
                <w:color w:val="000080"/>
                <w:sz w:val="18"/>
              </w:rPr>
            </w:pPr>
            <w:r>
              <w:rPr>
                <w:color w:val="000080"/>
                <w:sz w:val="18"/>
              </w:rPr>
            </w:r>
          </w:p>
        </w:tc>
        <w:tc>
          <w:tcPr>
            <w:tcW w:w="6045" w:type="dxa"/>
            <w:tcBorders/>
          </w:tcPr>
          <w:p>
            <w:pPr>
              <w:pStyle w:val="Normal"/>
              <w:snapToGrid w:val="false"/>
              <w:rPr>
                <w:color w:val="000080"/>
                <w:sz w:val="18"/>
              </w:rPr>
            </w:pPr>
            <w:r>
              <w:rPr>
                <w:color w:val="000080"/>
                <w:sz w:val="18"/>
              </w:rPr>
            </w:r>
          </w:p>
        </w:tc>
        <w:tc>
          <w:tcPr>
            <w:tcW w:w="990" w:type="dxa"/>
            <w:tcBorders/>
          </w:tcPr>
          <w:p>
            <w:pPr>
              <w:pStyle w:val="Normal"/>
              <w:snapToGrid w:val="false"/>
              <w:ind w:start="-180" w:end="0"/>
              <w:rPr>
                <w:color w:val="000080"/>
                <w:sz w:val="18"/>
              </w:rPr>
            </w:pPr>
            <w:r>
              <w:rPr>
                <w:color w:val="000080"/>
                <w:sz w:val="18"/>
              </w:rPr>
            </w:r>
          </w:p>
        </w:tc>
        <w:tc>
          <w:tcPr>
            <w:tcW w:w="2965" w:type="dxa"/>
            <w:tcBorders/>
          </w:tcPr>
          <w:p>
            <w:pPr>
              <w:pStyle w:val="Normal"/>
              <w:snapToGrid w:val="false"/>
              <w:rPr>
                <w:color w:val="000080"/>
                <w:sz w:val="18"/>
              </w:rPr>
            </w:pPr>
            <w:r>
              <w:rPr>
                <w:color w:val="000080"/>
                <w:sz w:val="18"/>
              </w:rPr>
            </w:r>
          </w:p>
        </w:tc>
      </w:tr>
      <w:tr>
        <w:trPr>
          <w:trHeight w:val="300" w:hRule="exact"/>
        </w:trPr>
        <w:tc>
          <w:tcPr>
            <w:tcW w:w="708" w:type="dxa"/>
            <w:tcBorders/>
          </w:tcPr>
          <w:p>
            <w:pPr>
              <w:pStyle w:val="Normal"/>
              <w:ind w:start="-180" w:end="0"/>
              <w:jc w:val="end"/>
              <w:rPr>
                <w:color w:val="000080"/>
                <w:sz w:val="16"/>
              </w:rPr>
            </w:pPr>
            <w:r>
              <w:rPr>
                <w:color w:val="000080"/>
                <w:sz w:val="16"/>
              </w:rPr>
              <w:t>From:</w:t>
            </w:r>
          </w:p>
        </w:tc>
        <w:tc>
          <w:tcPr>
            <w:tcW w:w="6045" w:type="dxa"/>
            <w:tcBorders/>
          </w:tcPr>
          <w:p>
            <w:pPr>
              <w:pStyle w:val="From"/>
              <w:rPr>
                <w:color w:val="000080"/>
              </w:rPr>
            </w:pPr>
            <w:r>
              <w:rPr>
                <w:color w:val="000080"/>
              </w:rPr>
              <w:t>Bob Chandler</w:t>
            </w:r>
          </w:p>
          <w:p>
            <w:pPr>
              <w:pStyle w:val="From"/>
              <w:rPr>
                <w:color w:val="000080"/>
              </w:rPr>
            </w:pPr>
            <w:r>
              <w:rPr>
                <w:color w:val="000080"/>
              </w:rPr>
            </w:r>
          </w:p>
        </w:tc>
        <w:tc>
          <w:tcPr>
            <w:tcW w:w="990" w:type="dxa"/>
            <w:tcBorders/>
          </w:tcPr>
          <w:p>
            <w:pPr>
              <w:pStyle w:val="Normal"/>
              <w:ind w:start="-180" w:end="0"/>
              <w:jc w:val="end"/>
              <w:rPr>
                <w:color w:val="000080"/>
                <w:sz w:val="16"/>
              </w:rPr>
            </w:pPr>
            <w:r>
              <w:rPr>
                <w:color w:val="000080"/>
                <w:sz w:val="16"/>
              </w:rPr>
              <w:t>Department:</w:t>
            </w:r>
          </w:p>
        </w:tc>
        <w:tc>
          <w:tcPr>
            <w:tcW w:w="2965" w:type="dxa"/>
            <w:tcBorders/>
          </w:tcPr>
          <w:p>
            <w:pPr>
              <w:pStyle w:val="Department"/>
              <w:rPr>
                <w:color w:val="000080"/>
              </w:rPr>
            </w:pPr>
            <w:bookmarkStart w:id="1" w:name="From"/>
            <w:bookmarkEnd w:id="1"/>
            <w:r>
              <w:rPr>
                <w:color w:val="000080"/>
              </w:rPr>
              <w:t>ETS Accounting &amp; Reporting</w:t>
            </w:r>
          </w:p>
        </w:tc>
      </w:tr>
      <w:tr>
        <w:trPr>
          <w:trHeight w:val="216" w:hRule="exact"/>
        </w:trPr>
        <w:tc>
          <w:tcPr>
            <w:tcW w:w="708" w:type="dxa"/>
            <w:tcBorders/>
          </w:tcPr>
          <w:p>
            <w:pPr>
              <w:pStyle w:val="Normal"/>
              <w:snapToGrid w:val="false"/>
              <w:ind w:start="-180" w:end="0"/>
              <w:jc w:val="end"/>
              <w:rPr>
                <w:color w:val="000080"/>
                <w:sz w:val="18"/>
              </w:rPr>
            </w:pPr>
            <w:r>
              <w:rPr>
                <w:color w:val="000080"/>
                <w:sz w:val="18"/>
              </w:rPr>
            </w:r>
          </w:p>
        </w:tc>
        <w:tc>
          <w:tcPr>
            <w:tcW w:w="6045" w:type="dxa"/>
            <w:tcBorders/>
          </w:tcPr>
          <w:p>
            <w:pPr>
              <w:pStyle w:val="Normal"/>
              <w:snapToGrid w:val="false"/>
              <w:rPr>
                <w:color w:val="000080"/>
                <w:sz w:val="18"/>
              </w:rPr>
            </w:pPr>
            <w:r>
              <w:rPr>
                <w:color w:val="000080"/>
                <w:sz w:val="18"/>
              </w:rPr>
            </w:r>
          </w:p>
        </w:tc>
        <w:tc>
          <w:tcPr>
            <w:tcW w:w="990" w:type="dxa"/>
            <w:tcBorders/>
          </w:tcPr>
          <w:p>
            <w:pPr>
              <w:pStyle w:val="Normal"/>
              <w:snapToGrid w:val="false"/>
              <w:ind w:start="-180" w:end="0"/>
              <w:rPr>
                <w:color w:val="000080"/>
                <w:sz w:val="18"/>
              </w:rPr>
            </w:pPr>
            <w:r>
              <w:rPr>
                <w:color w:val="000080"/>
                <w:sz w:val="18"/>
              </w:rPr>
            </w:r>
          </w:p>
        </w:tc>
        <w:tc>
          <w:tcPr>
            <w:tcW w:w="2965" w:type="dxa"/>
            <w:tcBorders/>
          </w:tcPr>
          <w:p>
            <w:pPr>
              <w:pStyle w:val="Normal"/>
              <w:snapToGrid w:val="false"/>
              <w:rPr>
                <w:color w:val="000080"/>
                <w:sz w:val="18"/>
              </w:rPr>
            </w:pPr>
            <w:r>
              <w:rPr>
                <w:color w:val="000080"/>
                <w:sz w:val="18"/>
              </w:rPr>
            </w:r>
          </w:p>
        </w:tc>
      </w:tr>
      <w:tr>
        <w:trPr>
          <w:trHeight w:val="600" w:hRule="exact"/>
        </w:trPr>
        <w:tc>
          <w:tcPr>
            <w:tcW w:w="708" w:type="dxa"/>
            <w:tcBorders>
              <w:bottom w:val="single" w:sz="18" w:space="0" w:color="000000"/>
            </w:tcBorders>
          </w:tcPr>
          <w:p>
            <w:pPr>
              <w:pStyle w:val="Normal"/>
              <w:ind w:start="-180" w:end="0"/>
              <w:jc w:val="end"/>
              <w:rPr>
                <w:color w:val="000080"/>
                <w:sz w:val="16"/>
              </w:rPr>
            </w:pPr>
            <w:r>
              <w:rPr>
                <w:color w:val="000080"/>
                <w:sz w:val="16"/>
              </w:rPr>
              <w:t>Subject:</w:t>
            </w:r>
          </w:p>
        </w:tc>
        <w:tc>
          <w:tcPr>
            <w:tcW w:w="6045" w:type="dxa"/>
            <w:tcBorders>
              <w:bottom w:val="single" w:sz="18" w:space="0" w:color="000000"/>
            </w:tcBorders>
          </w:tcPr>
          <w:p>
            <w:pPr>
              <w:pStyle w:val="Subject"/>
              <w:rPr>
                <w:color w:val="000080"/>
              </w:rPr>
            </w:pPr>
            <w:bookmarkStart w:id="2" w:name="Subject"/>
            <w:bookmarkEnd w:id="2"/>
            <w:r>
              <w:rPr>
                <w:color w:val="000080"/>
              </w:rPr>
              <w:t>Cooper Parts Sale – Deferral of NNG Gain</w:t>
            </w:r>
          </w:p>
          <w:p>
            <w:pPr>
              <w:pStyle w:val="Subject"/>
              <w:jc w:val="center"/>
              <w:rPr>
                <w:b/>
                <w:color w:val="000080"/>
              </w:rPr>
            </w:pPr>
            <w:r>
              <w:rPr>
                <w:b/>
                <w:color w:val="000080"/>
              </w:rPr>
            </w:r>
          </w:p>
        </w:tc>
        <w:tc>
          <w:tcPr>
            <w:tcW w:w="990" w:type="dxa"/>
            <w:tcBorders>
              <w:bottom w:val="single" w:sz="18" w:space="0" w:color="000000"/>
            </w:tcBorders>
          </w:tcPr>
          <w:p>
            <w:pPr>
              <w:pStyle w:val="Normal"/>
              <w:ind w:start="-180" w:end="0"/>
              <w:jc w:val="end"/>
              <w:rPr>
                <w:color w:val="000080"/>
                <w:sz w:val="16"/>
              </w:rPr>
            </w:pPr>
            <w:r>
              <w:rPr>
                <w:color w:val="000080"/>
                <w:sz w:val="16"/>
              </w:rPr>
              <w:t>Date:</w:t>
            </w:r>
          </w:p>
        </w:tc>
        <w:tc>
          <w:tcPr>
            <w:tcW w:w="2965" w:type="dxa"/>
            <w:tcBorders>
              <w:bottom w:val="single" w:sz="18" w:space="0" w:color="000000"/>
            </w:tcBorders>
          </w:tcPr>
          <w:p>
            <w:pPr>
              <w:pStyle w:val="Date"/>
              <w:rPr>
                <w:color w:val="000080"/>
              </w:rPr>
            </w:pPr>
            <w:r>
              <w:rPr>
                <w:color w:val="000080"/>
              </w:rPr>
              <w:t>December 27, 2000</w:t>
            </w:r>
          </w:p>
        </w:tc>
      </w:tr>
    </w:tbl>
    <w:p>
      <w:pPr>
        <w:pStyle w:val="Body"/>
        <w:rPr/>
      </w:pPr>
      <w:r>
        <w:rPr/>
      </w:r>
    </w:p>
    <w:p>
      <w:pPr>
        <w:pStyle w:val="Body"/>
        <w:rPr>
          <w:b/>
        </w:rPr>
      </w:pPr>
      <w:bookmarkStart w:id="3" w:name="StartOfMemo"/>
      <w:bookmarkEnd w:id="3"/>
      <w:r>
        <w:rPr>
          <w:b/>
        </w:rPr>
        <w:t>Background</w:t>
      </w:r>
    </w:p>
    <w:p>
      <w:pPr>
        <w:pStyle w:val="Body"/>
        <w:rPr>
          <w:b/>
        </w:rPr>
      </w:pPr>
      <w:r>
        <w:rPr>
          <w:b/>
        </w:rPr>
      </w:r>
    </w:p>
    <w:p>
      <w:pPr>
        <w:pStyle w:val="Body"/>
        <w:rPr/>
      </w:pPr>
      <w:r>
        <w:rPr/>
        <w:t xml:space="preserve">In early 2000 GPG Supply Sourcing (Morris Brassfield) discovered that many field locations on NNG, TW, and FGT had accumulated various engine and compressor parts that had been purchased in prior years and, for whatever reason, charged to expense. To gain control over these off-the-book parts, detailed physical audits were made at all field locations, and a detailed database of all such parts was developed. Cooper Energy Services was contracted to assist with this process and to aid in the development of a strategy to maximize the recovery of value from these parts. By the end of September a sale agreement was worked out to sell $12MM of parts from NNG to Cooper Cameron. In order to persuade Cooper to enter into such a transaction, NNG and its affiliate Enron Pipeline Services Company (EPSC) developed a plan under which EPSC would expand the business done by Enron companies with Cooper. The plan was to negotiate a Blanket Purchase Agreement (BPA) with Cooper that would require the Enron Companies to purchase a minimum of $18MM of goods and services from Cooper during the 2001-2002 period.  Of this $18MM Minimum Purchase Amount (MPA), at least $6MM was required to meet certain criteria as being Incremental Business for Cooper. Such business was to be priced at 15% below normal list prices. If EPSC fails to meet the MPA obligation during the initial or extended term of the BPA, EPSC must pay Cooper 25% of the amount by which EPSC fails to fulfill its $18MM purchase obligation. </w:t>
      </w:r>
    </w:p>
    <w:p>
      <w:pPr>
        <w:pStyle w:val="Body"/>
        <w:rPr/>
      </w:pPr>
      <w:r>
        <w:rPr/>
      </w:r>
    </w:p>
    <w:p>
      <w:pPr>
        <w:pStyle w:val="Body"/>
        <w:rPr/>
      </w:pPr>
      <w:r>
        <w:rPr/>
        <w:t xml:space="preserve">Because Cooper had certain cash flow and debt minimization objectives, Cooper insisted that it be kept cash-flow neutral as to the NNG sale to Cooper and to the BPA with EPSC. To meet this objective, EPSC agreed to pre-fund $12MM of its MPA obligation to Cooper so that Cooper would have funding to purchase the engine and compressor parts from Cooper.  </w:t>
      </w:r>
    </w:p>
    <w:p>
      <w:pPr>
        <w:pStyle w:val="Body"/>
        <w:rPr/>
      </w:pPr>
      <w:r>
        <w:rPr/>
      </w:r>
    </w:p>
    <w:p>
      <w:pPr>
        <w:pStyle w:val="Body"/>
        <w:rPr>
          <w:b/>
        </w:rPr>
      </w:pPr>
      <w:r>
        <w:rPr>
          <w:b/>
        </w:rPr>
        <w:t>Accounting Issue</w:t>
      </w:r>
    </w:p>
    <w:p>
      <w:pPr>
        <w:pStyle w:val="Body"/>
        <w:rPr>
          <w:b/>
        </w:rPr>
      </w:pPr>
      <w:r>
        <w:rPr>
          <w:b/>
        </w:rPr>
      </w:r>
    </w:p>
    <w:p>
      <w:pPr>
        <w:pStyle w:val="Body"/>
        <w:rPr/>
      </w:pPr>
      <w:r>
        <w:rPr/>
        <w:t>What level of revenue (and gain) recognition should be accorded the transfer of $12MM of engine and compressor parts from NNG to Cooper in exchange for receipt of $12MM cash from Cooper…even though an affiliate of NNG has made a prepayment to Cooper for goods and services to be purchased under a blanket purchase agreement?  The similar amount and timing of the $12MM payments raises the questions of whether an exchange has occurred and whether the amount of the proceeds is fixed or determinable, given the penalty provision in the blanket purchase agreement. Clearly an exchange has occurred. Title to the goods has passed to the purchaser and NNG has no obligation to repurchase any or all of such parts. In fact, the Bill of Sale provides a penalty if Cooper fails to remove such goods from NNG property in a timely manner.</w:t>
      </w:r>
    </w:p>
    <w:p>
      <w:pPr>
        <w:pStyle w:val="Body"/>
        <w:rPr/>
      </w:pPr>
      <w:r>
        <w:rPr/>
      </w:r>
    </w:p>
    <w:p>
      <w:pPr>
        <w:pStyle w:val="Body"/>
        <w:rPr>
          <w:b/>
        </w:rPr>
      </w:pPr>
      <w:r>
        <w:rPr/>
        <w:t>To alleviate any concern that the gain on sale is overstated by the amount of future penalties that Enron may incur under the blanket purchase agreement, NNG will defer that portion of the sale proceeds equivalent to the maximum penalties that could be incurred under the BPA – 25% of $18MM or $4.5MM. The deferred gain will be released to income on a pro-rata basis as the minimum purchase amount is achieved under the terms of the BPA.</w:t>
      </w:r>
    </w:p>
    <w:p>
      <w:pPr>
        <w:pStyle w:val="Body"/>
        <w:rPr>
          <w:b/>
        </w:rPr>
      </w:pPr>
      <w:r>
        <w:rPr>
          <w:b/>
        </w:rPr>
      </w:r>
    </w:p>
    <w:p>
      <w:pPr>
        <w:pStyle w:val="Body"/>
        <w:rPr>
          <w:rFonts w:eastAsia="Arial"/>
        </w:rPr>
      </w:pPr>
      <w:r>
        <w:rPr>
          <w:rFonts w:eastAsia="Arial"/>
        </w:rPr>
        <w:t xml:space="preserve">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color w:val="000080"/>
      <w:sz w:val="22"/>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Ene11mem.dot</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2000-12-21T14:25:00Z</dcterms:created>
  <dc:creator>ET&amp;S</dc:creator>
  <dc:description/>
  <dc:language>en-CA</dc:language>
  <cp:lastModifiedBy>ET&amp;S</cp:lastModifiedBy>
  <cp:lastPrinted>2000-12-27T17:17:00Z</cp:lastPrinted>
  <dcterms:modified xsi:type="dcterms:W3CDTF">2001-03-02T12:21:00Z</dcterms:modified>
  <cp:revision>9</cp:revision>
  <dc:subject/>
  <dc:title>Better, Faster, Simpler Memo </dc:title>
</cp:coreProperties>
</file>