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ERMT LLC MASTER AGREEMENT (POWER)</w:t>
      </w:r>
    </w:p>
    <w:p>
      <w:pPr>
        <w:pStyle w:val="BodyText"/>
        <w:ind w:hanging="0" w:end="0"/>
        <w:jc w:val="center"/>
        <w:rPr>
          <w:b/>
        </w:rPr>
      </w:pPr>
      <w:r>
        <w:rPr>
          <w:b/>
        </w:rPr>
        <w:t>Adoption Agreement</w:t>
      </w:r>
    </w:p>
    <w:p>
      <w:pPr>
        <w:pStyle w:val="BodyText"/>
        <w:jc w:val="both"/>
        <w:rPr/>
      </w:pPr>
      <w:r>
        <w:rPr/>
        <w:t>This ERMT LLC Master Agreement (Power) – Adoption Agreement (this "</w:t>
      </w:r>
      <w:r>
        <w:rPr>
          <w:u w:val="single"/>
        </w:rPr>
        <w:t>Agreement</w:t>
      </w:r>
      <w:r>
        <w:rPr/>
        <w:t>") dated November __, 2001 (the "</w:t>
      </w:r>
      <w:r>
        <w:rPr>
          <w:u w:val="single"/>
        </w:rPr>
        <w:t>Effective Date</w:t>
      </w:r>
      <w:r>
        <w:rPr/>
        <w:t>") is by and among ERMT LLC ("</w:t>
      </w:r>
      <w:r>
        <w:rPr>
          <w:u w:val="single"/>
        </w:rPr>
        <w:t>ERMT LLC</w:t>
      </w:r>
      <w:r>
        <w:rPr/>
        <w:t>") and Cook Inlet Supply Limited Partnership ("</w:t>
      </w:r>
      <w:r>
        <w:rPr>
          <w:u w:val="single"/>
        </w:rPr>
        <w:t>Counterparty</w:t>
      </w:r>
      <w:r>
        <w:rPr/>
        <w:t>") (ERMT LLC and Counterparty are collectively referred to herein from time to time as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ERMT LLC is an affiliate of Enron Power Marketing, Inc., a Delaware corporation ("</w:t>
      </w:r>
      <w:r>
        <w:rPr>
          <w:bCs/>
          <w:u w:val="single"/>
        </w:rPr>
        <w:t>EPMI</w:t>
      </w:r>
      <w:r>
        <w:rPr>
          <w:bCs/>
        </w:rPr>
        <w:t>"); and</w:t>
      </w:r>
    </w:p>
    <w:p>
      <w:pPr>
        <w:pStyle w:val="BodyText"/>
        <w:jc w:val="both"/>
        <w:rPr/>
      </w:pPr>
      <w:r>
        <w:rPr>
          <w:bCs/>
        </w:rPr>
        <w:t xml:space="preserve">WHEREAS, EPMI and Counterparty are parties to </w:t>
      </w:r>
      <w:r>
        <w:rPr/>
        <w:t>that certain agreement (the "</w:t>
      </w:r>
      <w:r>
        <w:rPr>
          <w:u w:val="single"/>
        </w:rPr>
        <w:t>EPMI/Counterparty Master Agreement</w:t>
      </w:r>
      <w:r>
        <w:rPr/>
        <w:t xml:space="preserve">", a copy of which is attached hereto as </w:t>
      </w:r>
      <w:r>
        <w:rPr>
          <w:u w:val="single"/>
        </w:rPr>
        <w:t>Schedule A</w:t>
      </w:r>
      <w:r>
        <w:rPr/>
        <w:t xml:space="preserve"> hereto);</w:t>
      </w:r>
    </w:p>
    <w:p>
      <w:pPr>
        <w:pStyle w:val="BodyText"/>
        <w:jc w:val="both"/>
        <w:rPr/>
      </w:pPr>
      <w:bookmarkStart w:id="2" w:name="_DV_M4"/>
      <w:bookmarkEnd w:id="2"/>
      <w:r>
        <w:rPr/>
        <w:t>WHEREAS, Counterparty and ERMT LLC desire to enter into a Master Power Purchase and Sale Agreement that includes certain terms and conditions substantially similar to those set forth in EPMI/Counterparty Master Agreement; and</w:t>
      </w:r>
    </w:p>
    <w:p>
      <w:pPr>
        <w:pStyle w:val="BodyText"/>
        <w:jc w:val="both"/>
        <w:rPr/>
      </w:pPr>
      <w:r>
        <w:rPr/>
        <w:t>NOW, THEREFORE, in consideration of the premises and of the mutual agreements herein contained, the Parties hereto agree as follows:</w:t>
      </w:r>
    </w:p>
    <w:p>
      <w:pPr>
        <w:pStyle w:val="BodyText"/>
        <w:jc w:val="both"/>
        <w:rPr/>
      </w:pPr>
      <w:r>
        <w:rPr/>
        <w:t>1.</w:t>
        <w:tab/>
      </w:r>
      <w:r>
        <w:rPr>
          <w:u w:val="single"/>
        </w:rPr>
        <w:t>Adoption of Terms and Conditions; Formation of Master Agreement</w:t>
      </w:r>
      <w:r>
        <w:rPr/>
        <w:t xml:space="preserve">.  The Parties hereby agree that (i) upon execution and delivery of this Agreement, the terms and conditions of the EPMI/Counterparty Master Agreement, as such terms and conditions are amended as set forth in </w:t>
      </w:r>
      <w:r>
        <w:rPr>
          <w:u w:val="single"/>
        </w:rPr>
        <w:t>Schedule B</w:t>
      </w:r>
      <w:r>
        <w:rPr/>
        <w:t xml:space="preserve"> hereto, are hereby adopted and agreed to by the Parties as if such terms and conditions were set forth verbatim herein, (ii) the terms and conditions of the EPMI/Counterparty Master Agreement as so amended shall be and hereafter constitute a Master Power Purchase and Sale Agreement between the Parties dated as of the Effective Date (such agreement being referred to herein as the "</w:t>
      </w:r>
      <w:r>
        <w:rPr>
          <w:u w:val="single"/>
        </w:rPr>
        <w:t>ERMT LLC Master Agreement (Power)</w:t>
      </w:r>
      <w:r>
        <w:rPr/>
        <w:t xml:space="preserve">"), and (iii) such ERMT LLC Master Agreement (Power) shall govern all transactions that are identified as having been entered into pursuant to such agreement.   </w:t>
      </w:r>
    </w:p>
    <w:p>
      <w:pPr>
        <w:pStyle w:val="Heading2"/>
        <w:numPr>
          <w:ilvl w:val="0"/>
          <w:numId w:val="0"/>
        </w:numPr>
        <w:ind w:firstLine="720" w:start="0" w:end="0"/>
        <w:jc w:val="both"/>
        <w:rPr/>
      </w:pPr>
      <w:r>
        <w:rPr/>
        <w:t>2.</w:t>
        <w:tab/>
      </w:r>
      <w:r>
        <w:rPr>
          <w:u w:val="single"/>
        </w:rPr>
        <w:t>Execution and Delivery of Replacement Master Agreement</w:t>
      </w:r>
      <w:r>
        <w:rPr/>
        <w:t>.  The Parties hereby undertake to use their commercially reasonable efforts to prepare, execute and deliver, at the earliest practicable date, an agreement that integrates into a single agreement the ERMT LLC Master Agreement (Power) (a "</w:t>
      </w:r>
      <w:r>
        <w:rPr>
          <w:u w:val="single"/>
        </w:rPr>
        <w:t>Replacement Master Agreement</w:t>
      </w:r>
      <w:r>
        <w:rPr/>
        <w:t xml:space="preserve">").  However, the terms and conditions of the ERMT LLC Master Agreement (Power) that has been adopted and agreed to hereby shall be enforceable against the Parties notwithstanding any failure to execute and deliver a Replacement Master Agreement, and no failure by the Parties to execute a Replacement Master Agreement shall deem the ERMT LLC Master Agreement (Power) that has been adopted and agreed to hereby to be void, unenforceable, terminated, ineffective or otherwise inapplicable.  </w:t>
      </w:r>
    </w:p>
    <w:p>
      <w:pPr>
        <w:pStyle w:val="BodyText"/>
        <w:jc w:val="both"/>
        <w:rPr/>
      </w:pPr>
      <w:r>
        <w:rPr/>
        <w:t xml:space="preserve">3.   </w:t>
      </w:r>
      <w:r>
        <w:rPr>
          <w:u w:val="single"/>
        </w:rPr>
        <w:t>Waiver of Certain Rights of Setoff</w:t>
      </w:r>
      <w:r>
        <w:rPr/>
        <w:t>.  The Parties acknowledge and agree that ERMT and/or the ERMT Affiliates (any one or more, the "</w:t>
      </w:r>
      <w:r>
        <w:rPr>
          <w:u w:val="single"/>
        </w:rPr>
        <w:t>ERMT Parties</w:t>
      </w:r>
      <w:r>
        <w:rPr/>
        <w:t>") on the one hand, and Counterparty and the Counterparty Affiliates (any one or more, the "</w:t>
      </w:r>
      <w:r>
        <w:rPr>
          <w:u w:val="single"/>
        </w:rPr>
        <w:t>Counterparty Parties</w:t>
      </w:r>
      <w:r>
        <w:rPr/>
        <w:t>") on the other hand, may be the beneficiaries of certain rights of setoff pursuant to agreements among EPMI and/or the EPMI Affiliates and the Counterparty Parties ("</w:t>
      </w:r>
      <w:r>
        <w:rPr>
          <w:u w:val="single"/>
        </w:rPr>
        <w:t>EPMI/Counterparty Agreements</w:t>
      </w:r>
      <w:r>
        <w:rPr/>
        <w:t>").  Each of ERMT, on behalf of the ERMT Parties, and Counterparty, on behalf the Counterparty Parties, hereby waive any right that they may have against the other by virtue of any such rights of setoff.  For purposes of this Agreement, (i) "</w:t>
      </w:r>
      <w:r>
        <w:rPr>
          <w:u w:val="single"/>
        </w:rPr>
        <w:t>ERMT Affiliates</w:t>
      </w:r>
      <w:r>
        <w:rPr/>
        <w:t>" shall mean ERMT and its wholly-owned subsidiaries; (ii) "</w:t>
      </w:r>
      <w:r>
        <w:rPr>
          <w:u w:val="single"/>
        </w:rPr>
        <w:t>EPMI Affiliates</w:t>
      </w:r>
      <w:r>
        <w:rPr/>
        <w:t xml:space="preserve">" shall mean any entities designated as such in any EPMI/Counterparty Agreements </w:t>
      </w:r>
      <w:r>
        <w:rPr>
          <w:u w:val="single"/>
        </w:rPr>
        <w:t>other</w:t>
      </w:r>
      <w:r>
        <w:rPr/>
        <w:t xml:space="preserve"> </w:t>
      </w:r>
      <w:r>
        <w:rPr>
          <w:u w:val="single"/>
        </w:rPr>
        <w:t>than</w:t>
      </w:r>
      <w:r>
        <w:rPr/>
        <w:t xml:space="preserve"> the ERMT Affiliates; and "</w:t>
      </w:r>
      <w:r>
        <w:rPr>
          <w:u w:val="single"/>
        </w:rPr>
        <w:t>Counterparty Affiliates</w:t>
      </w:r>
      <w:r>
        <w:rPr/>
        <w:t xml:space="preserve">" shall mean any entities designated as such in EPMI/Counterparty Agreements.  </w:t>
        <w:tab/>
      </w:r>
    </w:p>
    <w:p>
      <w:pPr>
        <w:pStyle w:val="Heading1"/>
        <w:keepNext w:val="false"/>
        <w:numPr>
          <w:ilvl w:val="0"/>
          <w:numId w:val="0"/>
        </w:numPr>
        <w:ind w:firstLine="720" w:start="0" w:end="0"/>
        <w:jc w:val="both"/>
        <w:rPr/>
      </w:pPr>
      <w:r>
        <w:rPr>
          <w:u w:val="none"/>
        </w:rPr>
        <w:t>4.</w:t>
        <w:tab/>
      </w: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numPr>
          <w:ilvl w:val="0"/>
          <w:numId w:val="0"/>
        </w:numPr>
        <w:ind w:firstLine="720" w:start="0" w:end="0"/>
        <w:jc w:val="both"/>
        <w:rPr/>
      </w:pPr>
      <w:r>
        <w:rPr>
          <w:u w:val="none"/>
        </w:rPr>
        <w:t>5.</w:t>
        <w:tab/>
      </w:r>
      <w:r>
        <w:rPr/>
        <w:t>Binding Effect; Assignment</w:t>
      </w:r>
      <w:r>
        <w:rPr>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numPr>
          <w:ilvl w:val="0"/>
          <w:numId w:val="0"/>
        </w:numPr>
        <w:ind w:firstLine="720" w:start="0" w:end="0"/>
        <w:jc w:val="both"/>
        <w:rPr/>
      </w:pPr>
      <w:r>
        <w:rPr>
          <w:u w:val="none"/>
        </w:rPr>
        <w:t>6.</w:t>
        <w:tab/>
      </w:r>
      <w:r>
        <w:rPr/>
        <w:t>Entire Agreement</w:t>
      </w:r>
      <w:r>
        <w:rPr>
          <w:u w:val="none"/>
        </w:rPr>
        <w:t xml:space="preserve">.  This Agreement contains the entire understanding of the Parties with respect to the subject matter hereof and supersedes all prior agreements and understandings. </w:t>
      </w:r>
    </w:p>
    <w:p>
      <w:pPr>
        <w:pStyle w:val="BodyText"/>
        <w:jc w:val="both"/>
        <w:rPr/>
      </w:pPr>
      <w:r>
        <w:rPr/>
        <w:t>IN WITNESS WHEREOF, the Parties hereto have executed this Agreement as of the date first above written.</w:t>
      </w:r>
    </w:p>
    <w:p>
      <w:pPr>
        <w:pStyle w:val="Normal"/>
        <w:jc w:val="both"/>
        <w:rPr/>
      </w:pPr>
      <w:r>
        <w:rPr/>
      </w:r>
    </w:p>
    <w:p>
      <w:pPr>
        <w:pStyle w:val="BodyTextIndent"/>
        <w:ind w:start="3960" w:end="0"/>
        <w:rPr>
          <w:sz w:val="24"/>
        </w:rPr>
      </w:pPr>
      <w:r>
        <w:rPr>
          <w:sz w:val="24"/>
          <w:rPrChange w:id="0" w:author="Unknown" w:date="0-00-00T00:00:00Z"/>
        </w:rPr>
        <w:t>ERMT LLC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COUNTERPARTY</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pPr>
      <w:r>
        <w:rPr/>
        <w:t>EPMI/Counterparty Master Agreement</w:t>
      </w:r>
      <w:r>
        <w:br w:type="page"/>
      </w:r>
    </w:p>
    <w:p>
      <w:pPr>
        <w:pStyle w:val="Normal"/>
        <w:jc w:val="center"/>
        <w:rPr>
          <w:b/>
          <w:bCs/>
        </w:rPr>
      </w:pPr>
      <w:r>
        <w:rPr>
          <w:b/>
          <w:bCs/>
        </w:rPr>
        <w:t>Schedule B</w:t>
      </w:r>
    </w:p>
    <w:p>
      <w:pPr>
        <w:pStyle w:val="Normal"/>
        <w:jc w:val="center"/>
        <w:rPr>
          <w:b/>
          <w:bCs/>
        </w:rPr>
      </w:pPr>
      <w:r>
        <w:rPr>
          <w:b/>
          <w:bCs/>
        </w:rPr>
      </w:r>
    </w:p>
    <w:p>
      <w:pPr>
        <w:pStyle w:val="Normal"/>
        <w:jc w:val="center"/>
        <w:rPr/>
      </w:pPr>
      <w:r>
        <w:rPr/>
        <w:t>Amendments</w:t>
      </w:r>
    </w:p>
    <w:p>
      <w:pPr>
        <w:pStyle w:val="Normal"/>
        <w:jc w:val="center"/>
        <w:rPr/>
      </w:pPr>
      <w:r>
        <w:rPr/>
      </w:r>
    </w:p>
    <w:p>
      <w:pPr>
        <w:pStyle w:val="Normal"/>
        <w:jc w:val="both"/>
        <w:rPr/>
      </w:pPr>
      <w:r>
        <w:rPr/>
        <w:t>The terms and conditions of the EPMI/Counterparty Master Agreement are hereby adopted and approved, with the following amendments:</w:t>
      </w:r>
    </w:p>
    <w:p>
      <w:pPr>
        <w:pStyle w:val="Normal"/>
        <w:jc w:val="both"/>
        <w:rPr/>
      </w:pPr>
      <w:r>
        <w:rPr/>
      </w:r>
    </w:p>
    <w:p>
      <w:pPr>
        <w:pStyle w:val="Normal"/>
        <w:jc w:val="both"/>
        <w:rPr/>
      </w:pPr>
      <w:r>
        <w:rPr/>
        <w:t>The EPMI/Counterparty Master Agreement shall be amended as follows:</w:t>
      </w:r>
    </w:p>
    <w:p>
      <w:pPr>
        <w:pStyle w:val="Normal"/>
        <w:ind w:firstLine="720" w:end="0"/>
        <w:jc w:val="both"/>
        <w:rPr/>
      </w:pPr>
      <w:r>
        <w:rPr/>
      </w:r>
    </w:p>
    <w:p>
      <w:pPr>
        <w:pStyle w:val="Normal"/>
        <w:numPr>
          <w:ilvl w:val="0"/>
          <w:numId w:val="3"/>
        </w:numPr>
        <w:jc w:val="both"/>
        <w:rPr/>
      </w:pPr>
      <w:r>
        <w:rPr/>
        <w:t xml:space="preserve">All references to “Enron Power Marketing, Inc” and “EPMI” shall be   replaced with “ERMT LLC” and “ERMT” respectively. </w:t>
      </w:r>
    </w:p>
    <w:p>
      <w:pPr>
        <w:pStyle w:val="Normal"/>
        <w:ind w:start="720" w:end="0"/>
        <w:jc w:val="both"/>
        <w:rPr/>
      </w:pPr>
      <w:r>
        <w:rPr/>
      </w:r>
    </w:p>
    <w:p>
      <w:pPr>
        <w:pStyle w:val="Normal"/>
        <w:numPr>
          <w:ilvl w:val="0"/>
          <w:numId w:val="3"/>
        </w:numPr>
        <w:jc w:val="both"/>
        <w:rPr/>
      </w:pPr>
      <w:r>
        <w:rPr/>
        <w:t>Section 2 “Representations and Warranties” Section 2 (v) shall be amended such that the following shall be added at the end thereof: “it is a “forward contract merchant” within the meaning of the United States Bankruptcy Code; it is an "eligible contract participant" as such term is defined in the Commodity Exchange Act, as amended 7 U.S.C. § 1 (a) (12); and (z) it is an "eligible contract entity" as such term is defined in the Commodity Exchange Act, as amended 7 U.S.C. § 1 (a) (11),"</w:t>
      </w:r>
    </w:p>
    <w:p>
      <w:pPr>
        <w:pStyle w:val="Normal"/>
        <w:jc w:val="both"/>
        <w:rPr/>
      </w:pPr>
      <w:r>
        <w:rPr/>
      </w:r>
    </w:p>
    <w:p>
      <w:pPr>
        <w:pStyle w:val="Normal"/>
        <w:numPr>
          <w:ilvl w:val="0"/>
          <w:numId w:val="3"/>
        </w:numPr>
        <w:jc w:val="both"/>
        <w:rPr/>
      </w:pPr>
      <w:r>
        <w:rPr/>
        <w:t>Section 2 “Representations and Warranties” Section 2 (vi) shall be deleted in its entirety and replaced with the following: “"(vi) there is not pending or, to its knowledge, threatened against it any legal proceedings that could materially adversely affect its ability to perform its obligations under this Agreement and each Transaction;"</w:t>
      </w:r>
    </w:p>
    <w:p>
      <w:pPr>
        <w:pStyle w:val="Normal"/>
        <w:jc w:val="both"/>
        <w:rPr/>
      </w:pPr>
      <w:r>
        <w:rPr/>
      </w:r>
    </w:p>
    <w:p>
      <w:pPr>
        <w:pStyle w:val="Normal"/>
        <w:numPr>
          <w:ilvl w:val="0"/>
          <w:numId w:val="3"/>
        </w:numPr>
        <w:jc w:val="both"/>
        <w:rPr>
          <w:b/>
          <w:bCs/>
        </w:rPr>
      </w:pPr>
      <w:r>
        <w:rPr/>
        <w:t>Section 4.1 “</w:t>
      </w:r>
      <w:r>
        <w:rPr>
          <w:b/>
          <w:bCs/>
          <w:u w:val="single"/>
        </w:rPr>
        <w:t>Events of Default</w:t>
      </w:r>
      <w:r>
        <w:rPr/>
        <w:t>” the words “with respect to EPMI, at any time, Enron Corp. shall have defaulted on its indebtedness to third parties, resulting in obligations of Enron Corp. in excess of $50,000,000 being accelerated” shall be deleted.</w:t>
      </w:r>
    </w:p>
    <w:p>
      <w:pPr>
        <w:pStyle w:val="Normal"/>
        <w:jc w:val="both"/>
        <w:rPr>
          <w:b/>
          <w:bCs/>
        </w:rPr>
      </w:pPr>
      <w:r>
        <w:rPr>
          <w:b/>
          <w:bCs/>
        </w:rPr>
      </w:r>
    </w:p>
    <w:p>
      <w:pPr>
        <w:pStyle w:val="Normal"/>
        <w:numPr>
          <w:ilvl w:val="0"/>
          <w:numId w:val="3"/>
        </w:numPr>
        <w:jc w:val="both"/>
        <w:rPr>
          <w:b/>
          <w:bCs/>
        </w:rPr>
      </w:pPr>
      <w:r>
        <w:rPr/>
        <w:t xml:space="preserve">Section 4.5 </w:t>
      </w:r>
      <w:r>
        <w:rPr>
          <w:u w:val="single"/>
        </w:rPr>
        <w:t>“</w:t>
      </w:r>
      <w:r>
        <w:rPr>
          <w:b/>
          <w:bCs/>
          <w:u w:val="single"/>
        </w:rPr>
        <w:t>Collateral Requirement/Termination Payment Threshold.</w:t>
      </w:r>
      <w:r>
        <w:rPr>
          <w:u w:val="single"/>
        </w:rPr>
        <w:t>”</w:t>
      </w:r>
      <w:r>
        <w:rPr/>
        <w:t xml:space="preserve"> Shall be deleted in its entirety and replaced with the relevant provisions in the attached Schedule C.</w:t>
      </w:r>
    </w:p>
    <w:p>
      <w:pPr>
        <w:pStyle w:val="Normal"/>
        <w:jc w:val="both"/>
        <w:rPr>
          <w:b/>
          <w:bCs/>
        </w:rPr>
      </w:pPr>
      <w:r>
        <w:rPr>
          <w:b/>
          <w:bCs/>
        </w:rPr>
      </w:r>
    </w:p>
    <w:p>
      <w:pPr>
        <w:pStyle w:val="Normal"/>
        <w:numPr>
          <w:ilvl w:val="0"/>
          <w:numId w:val="3"/>
        </w:numPr>
        <w:jc w:val="both"/>
        <w:rPr/>
      </w:pPr>
      <w:r>
        <w:rPr/>
        <w:t>Section 8.2 “</w:t>
      </w:r>
      <w:r>
        <w:rPr>
          <w:b/>
          <w:bCs/>
          <w:u w:val="single"/>
        </w:rPr>
        <w:t>Financial Information</w:t>
      </w:r>
      <w:r>
        <w:rPr>
          <w:u w:val="single"/>
        </w:rPr>
        <w:t xml:space="preserve">” </w:t>
      </w:r>
      <w:r>
        <w:rPr/>
        <w:t xml:space="preserve">The first sentence shall be deleted in its entirety. </w:t>
      </w:r>
    </w:p>
    <w:p>
      <w:pPr>
        <w:pStyle w:val="Normal"/>
        <w:jc w:val="both"/>
        <w:rPr/>
      </w:pPr>
      <w:r>
        <w:rPr/>
      </w:r>
    </w:p>
    <w:p>
      <w:pPr>
        <w:pStyle w:val="Normal"/>
        <w:numPr>
          <w:ilvl w:val="0"/>
          <w:numId w:val="3"/>
        </w:numPr>
        <w:jc w:val="both"/>
        <w:rPr/>
      </w:pPr>
      <w:r>
        <w:rPr/>
        <w:t xml:space="preserve">In the Appendix 1 – “Definitions” the definition of “Affiliate” shall be amended such that at the end thereof shall be added the following: “Save in respect of ERMT LLC where “Affiliate” shall only mean ERMT and its wholly-owned subsidiaries; “Affiliates" of EPMI shall mean any entities designated as such in any EPMI/Counterparty Agreements </w:t>
      </w:r>
      <w:r>
        <w:rPr>
          <w:u w:val="single"/>
        </w:rPr>
        <w:t>other</w:t>
      </w:r>
      <w:r>
        <w:rPr/>
        <w:t xml:space="preserve"> </w:t>
      </w:r>
      <w:r>
        <w:rPr>
          <w:u w:val="single"/>
        </w:rPr>
        <w:t>than</w:t>
      </w:r>
      <w:r>
        <w:rPr/>
        <w:t xml:space="preserve"> the  Affiliates of ERMT.”</w:t>
      </w:r>
    </w:p>
    <w:p>
      <w:pPr>
        <w:pStyle w:val="Normal"/>
        <w:jc w:val="both"/>
        <w:rPr/>
      </w:pPr>
      <w:r>
        <w:rPr/>
      </w:r>
    </w:p>
    <w:p>
      <w:pPr>
        <w:pStyle w:val="Normal"/>
        <w:numPr>
          <w:ilvl w:val="0"/>
          <w:numId w:val="3"/>
        </w:numPr>
        <w:jc w:val="both"/>
        <w:rPr/>
      </w:pPr>
      <w:r>
        <w:rPr/>
        <w:t xml:space="preserve"> </w:t>
      </w:r>
      <w:r>
        <w:rPr/>
        <w:t>In the Appendix 1 – “Definitions” the definition of “Material Adverse Change” shall be amended such that (i) is deleted in its entirety and replaced by the relevant provision in the attached Schedule C.</w:t>
      </w:r>
    </w:p>
    <w:p>
      <w:pPr>
        <w:pStyle w:val="Normal"/>
        <w:jc w:val="both"/>
        <w:rPr/>
      </w:pPr>
      <w:r>
        <w:rPr/>
      </w:r>
    </w:p>
    <w:p>
      <w:pPr>
        <w:pStyle w:val="Normal"/>
        <w:ind w:start="720" w:end="0"/>
        <w:jc w:val="both"/>
        <w:rPr/>
      </w:pPr>
      <w:r>
        <w:rPr/>
      </w:r>
    </w:p>
    <w:p>
      <w:pPr>
        <w:pStyle w:val="Normal"/>
        <w:numPr>
          <w:ilvl w:val="0"/>
          <w:numId w:val="3"/>
        </w:numPr>
        <w:spacing w:before="240" w:after="0"/>
        <w:jc w:val="both"/>
        <w:rPr/>
      </w:pPr>
      <w:r>
        <w:rPr/>
        <w:t>The Exhibit A shall be amended to reflect the relevant notice, contact, invoice and payment details for ERMT LLC which are set out in the attached Schedule C.</w:t>
      </w:r>
    </w:p>
    <w:p>
      <w:pPr>
        <w:pStyle w:val="Normal"/>
        <w:numPr>
          <w:ilvl w:val="0"/>
          <w:numId w:val="3"/>
        </w:numPr>
        <w:spacing w:before="240" w:after="0"/>
        <w:jc w:val="both"/>
        <w:rPr/>
      </w:pPr>
      <w:r>
        <w:rPr/>
        <w:t>Exhibit “C-1” shall be deleted in its entirety.</w:t>
      </w:r>
    </w:p>
    <w:p>
      <w:pPr>
        <w:pStyle w:val="Normal"/>
        <w:spacing w:before="240" w:after="0"/>
        <w:ind w:firstLine="360" w:start="720" w:end="0"/>
        <w:jc w:val="both"/>
        <w:rPr/>
      </w:pPr>
      <w:r>
        <w:rPr/>
        <w:t xml:space="preserv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Times New Roman" w:hAnsi="Times New Roman" w:cs="Times New Roman"/>
      <w:b/>
      <w:i w:val="false"/>
      <w:caps/>
      <w:sz w:val="24"/>
    </w:rPr>
  </w:style>
  <w:style w:type="character" w:styleId="WW8Num7z1">
    <w:name w:val="WW8Num7z1"/>
    <w:qFormat/>
    <w:rPr>
      <w:rFonts w:ascii="Times New Roman" w:hAnsi="Times New Roman" w:cs="Times New Roman"/>
      <w:b w:val="false"/>
      <w:i w:val="false"/>
      <w:sz w:val="24"/>
      <w:u w:val="none"/>
    </w:rPr>
  </w:style>
  <w:style w:type="character" w:styleId="WW8Num7z2">
    <w:name w:val="WW8Num7z2"/>
    <w:qFormat/>
    <w:rPr>
      <w:rFonts w:ascii="Times New Roman" w:hAnsi="Times New Roman" w:cs="Times New Roman"/>
      <w:b w:val="false"/>
      <w:i w:val="false"/>
      <w:sz w:val="24"/>
    </w:rPr>
  </w:style>
  <w:style w:type="character" w:styleId="WW8Num7z5">
    <w:name w:val="WW8Num7z5"/>
    <w:qFormat/>
    <w:rPr>
      <w:rFonts w:ascii="Times New Roman" w:hAnsi="Times New Roman" w:cs="Times New Roman"/>
      <w:b/>
      <w:i w:val="false"/>
      <w:sz w:val="24"/>
      <w:u w:val="none"/>
    </w:rPr>
  </w:style>
  <w:style w:type="character" w:styleId="WW8Num8z0">
    <w:name w:val="WW8Num8z0"/>
    <w:qFormat/>
    <w:rPr>
      <w:sz w:val="24"/>
    </w:rPr>
  </w:style>
  <w:style w:type="character" w:styleId="WW8Num9z0">
    <w:name w:val="WW8Num9z0"/>
    <w:qFormat/>
    <w:rPr/>
  </w:style>
  <w:style w:type="character" w:styleId="WW8Num10z0">
    <w:name w:val="WW8Num10z0"/>
    <w:qFormat/>
    <w:rPr>
      <w:rFonts w:ascii="Times New Roman" w:hAnsi="Times New Roman" w:cs="Times New Roman"/>
      <w:b w:val="false"/>
      <w:i w:val="false"/>
      <w:color w:val="auto"/>
      <w:sz w:val="24"/>
      <w:u w:val="none"/>
    </w:rPr>
  </w:style>
  <w:style w:type="character" w:styleId="WW8Num10z2">
    <w:name w:val="WW8Num10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2001-11-02T13:45:00Z</dcterms:created>
  <dc:creator>tjones</dc:creator>
  <dc:description/>
  <cp:keywords>NYC 362726.8 24571 00313 12/28/2000  4:27 PM</cp:keywords>
  <dc:language>en-CA</dc:language>
  <cp:lastModifiedBy>Marcus Nettelton</cp:lastModifiedBy>
  <cp:lastPrinted>2001-11-01T15:14:00Z</cp:lastPrinted>
  <dcterms:modified xsi:type="dcterms:W3CDTF">2001-11-02T13:45:00Z</dcterms:modified>
  <cp:revision>2</cp:revision>
  <dc:subject/>
  <dc:title>ASSIGNMENT AGREEMENT</dc:title>
</cp:coreProperties>
</file>