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jc w:val="end"/>
        <w:rPr/>
      </w:pPr>
      <w:r>
        <w:rPr/>
        <w:t>Draft of October 11, 2001</w:t>
      </w:r>
    </w:p>
    <w:p>
      <w:pPr>
        <w:pStyle w:val="Heading"/>
        <w:ind w:firstLine="720" w:end="0"/>
        <w:rPr/>
      </w:pPr>
      <w:r>
        <w:rPr/>
      </w:r>
    </w:p>
    <w:p>
      <w:pPr>
        <w:pStyle w:val="Heading"/>
        <w:ind w:firstLine="720" w:end="0"/>
        <w:rPr/>
      </w:pPr>
      <w:r>
        <w:rPr/>
        <w:t>MEMORANDUM TO MEMBERS</w:t>
      </w:r>
    </w:p>
    <w:p>
      <w:pPr>
        <w:pStyle w:val="Normal"/>
        <w:jc w:val="both"/>
        <w:rPr/>
      </w:pPr>
      <w:r>
        <w:rPr/>
      </w:r>
    </w:p>
    <w:p>
      <w:pPr>
        <w:pStyle w:val="Normal"/>
        <w:jc w:val="both"/>
        <w:rPr/>
      </w:pPr>
      <w:r>
        <w:rPr/>
        <w:t>ISDA is aware that market participants have been discussing whether convertible bonds are Deliverable Obligations under existing transactions in light of the forthcoming publication of the “Supplement Relating to Convertible, Exchangeable or Accreting Obligations”.</w:t>
      </w:r>
    </w:p>
    <w:p>
      <w:pPr>
        <w:pStyle w:val="Normal"/>
        <w:jc w:val="both"/>
        <w:rPr/>
      </w:pPr>
      <w:r>
        <w:rPr/>
      </w:r>
    </w:p>
    <w:p>
      <w:pPr>
        <w:pStyle w:val="Normal"/>
        <w:jc w:val="both"/>
        <w:rPr/>
      </w:pPr>
      <w:r>
        <w:rPr/>
        <w:t>ISDA would like to point out that the proposed Supplement recently distributed to the Credit Derivatives Market Practice Committee states that no inference shall be made as to the interpretation of the “Not Contingent” Deliverable Obligation Characteristic for transactions that do not incorporate the Supplement or that do not otherwise specifically address the issue of whether convertible bonds are deliverable.  The principal reason for including this statement is to reinforce the position expressed in the final draft User’s Guide to the 1999 ISDA Credit Derivatives Definitions to the effect that bonds convertible at the option of the bondholder (or a trustee for the bondholders) should not be excluded by the “Not Contingent” Deliverable Obligation Characteristic.  Accordingly, ISDA is issuing this Memorandum to Members in order to reiterate the position expressed in the final draft User’s Guide that convertible bonds should be so deliverable unless the parties have agreed otherwise.</w:t>
      </w:r>
    </w:p>
    <w:p>
      <w:pPr>
        <w:pStyle w:val="Normal"/>
        <w:jc w:val="both"/>
        <w:rPr/>
      </w:pPr>
      <w:r>
        <w:rPr/>
      </w:r>
    </w:p>
    <w:p>
      <w:pPr>
        <w:pStyle w:val="Normal"/>
        <w:jc w:val="both"/>
        <w:rPr/>
      </w:pPr>
      <w:r>
        <w:rPr/>
        <w:t>ISDA understands that some convertible bonds contain provisions pursuant to which a trustee may exercise a conversion right if the conversion option is of significant value to the bondholders.  ISDA understands that provisions such as this are typically included to protect bondholders when they have failed to exercise on a timely basis and exercise is clearly beneficial for them.  ISDA views the provision as analogous to the automatic exercise provision in a swaption and not a contingency to which the “Not Contingent” Deliverable Obligation Characteristic is intended to apply.</w:t>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t>PC DOCS #82666</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2001-10-11T11:19:00Z</dcterms:created>
  <dc:creator>Deutsche Bank</dc:creator>
  <dc:description/>
  <dc:language>en-CA</dc:language>
  <cp:lastModifiedBy>VALUED SONY CUSTOMER</cp:lastModifiedBy>
  <dcterms:modified xsi:type="dcterms:W3CDTF">2001-10-12T11:04:00Z</dcterms:modified>
  <cp:revision>9</cp:revision>
  <dc:subject/>
  <dc:title>ISDA is aware that __________________ participants have recently been discussing convertible bonds as Deliverable Obligations, __________ in light of the forming publication of the prepaid supplement relating to Convertible, Examples or Accounting Obliga</dc:title>
</cp:coreProperties>
</file>