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rPr>
      </w:pPr>
      <w:r>
        <w:rPr>
          <w:b/>
          <w:bCs/>
        </w:rPr>
        <w:t xml:space="preserve">Argentina: Dollarization or Devaluation </w:t>
      </w:r>
    </w:p>
    <w:p>
      <w:pPr>
        <w:pStyle w:val="Normal"/>
        <w:pBdr>
          <w:top w:val="single" w:sz="4" w:space="1" w:color="000000"/>
          <w:left w:val="single" w:sz="4" w:space="4" w:color="000000"/>
          <w:bottom w:val="single" w:sz="4" w:space="1" w:color="000000"/>
          <w:right w:val="single" w:sz="4" w:space="4" w:color="000000"/>
        </w:pBdr>
        <w:jc w:val="center"/>
        <w:rPr>
          <w:b/>
          <w:bCs/>
        </w:rPr>
      </w:pPr>
      <w:r>
        <w:rPr>
          <w:b/>
          <w:bCs/>
        </w:rPr>
        <w:t>(November 12, 2001)</w:t>
      </w:r>
    </w:p>
    <w:p>
      <w:pPr>
        <w:pStyle w:val="Normal"/>
        <w:rPr>
          <w:b/>
          <w:bCs/>
        </w:rPr>
      </w:pPr>
      <w:r>
        <w:rPr>
          <w:b/>
          <w:bCs/>
        </w:rPr>
      </w:r>
    </w:p>
    <w:p>
      <w:pPr>
        <w:pStyle w:val="Normal"/>
        <w:rPr/>
      </w:pPr>
      <w:r>
        <w:rPr/>
        <w:t>I have asked Maureen Raymond-Castaneda to write a three part series about Argentina:  Two weeks ago we discussed a brief history of the Convertibility Plan.  Last week we analyzed the limitations and problems of the Convertibility Plan and finally, this week we will weigh the pros and cons of dollarization and devaluation.</w:t>
      </w:r>
    </w:p>
    <w:p>
      <w:pPr>
        <w:pStyle w:val="Normal"/>
        <w:rPr/>
      </w:pPr>
      <w:r>
        <w:rPr/>
      </w:r>
    </w:p>
    <w:p>
      <w:pPr>
        <w:pStyle w:val="Normal"/>
        <w:rPr/>
      </w:pPr>
      <w:r>
        <w:rPr/>
        <w:t>Another problem is that widespread dollarization of financial assets and liabilities means that a devaluation would not only change relative prices, but also would redistribute wealth between creditors and debtors, in turn disrupting asset markets.  Most of Argentina’s external debt is dollar denominated and a peso devaluation would make dollar-linked debt much more difficult for the Argentine government to pay back.</w:t>
      </w:r>
    </w:p>
    <w:p>
      <w:pPr>
        <w:pStyle w:val="Normal"/>
        <w:rPr/>
      </w:pPr>
      <w:r>
        <w:rPr/>
      </w:r>
    </w:p>
    <w:p>
      <w:pPr>
        <w:pStyle w:val="Normal"/>
        <w:rPr/>
      </w:pPr>
      <w:r>
        <w:rPr/>
        <w:t xml:space="preserve">Argentina is more likely to dollarize its economy than devalue its currency.  One could argue effectively that Argentina’s economy is largely dollarized today, as 67 percent of bank deposits, 70 percent of bank loans, and 80 percent of mortgages are denominated in U.S. dollars.  The question is whether the Argentine Congress would establish dollarization as an official government policy by mandating the exchange of the peso monetary base and switch of peso contracts into dollars through legislation.  The structure and composition of Argentina’s balance sheets renders dollarization more feasible than devaluation, as liabilities are predominantly linked to the U.S. dollar.  Devaluation would only worsen debt service costs of peso-denominated loans; devaluation would severely affect both the public and private sector’s capacity to repay debt, regardless of denomination.  In addition, currency event risk such as currency peg sustainability increases Argentina’s risk premium and thus raises local interest rates on US-dollar linked debt.  Thus, a devaluation risk premium is embedded in Argentine interest rates, which raises Argentina’s debt service costs.  Dollarization would not only eliminate the peso-dollar spread in interest rates but also it may reduce general risk premiums.  </w:t>
      </w:r>
    </w:p>
    <w:p>
      <w:pPr>
        <w:pStyle w:val="Normal"/>
        <w:rPr/>
      </w:pPr>
      <w:r>
        <w:rPr/>
      </w:r>
    </w:p>
    <w:p>
      <w:pPr>
        <w:pStyle w:val="Normal"/>
        <w:rPr/>
      </w:pPr>
      <w:r>
        <w:rPr/>
        <w:t>Even though privately held local peso deposits have stabilized in recent weeks, stemming immediate fears of a run on the banks, concerns still linger about the stability and longevity of local resident’s faith in the peso.</w:t>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2001-10-29T12:44:00Z</dcterms:created>
  <dc:creator>mraymon</dc:creator>
  <dc:description/>
  <dc:language>en-CA</dc:language>
  <cp:lastModifiedBy>mraymon</cp:lastModifiedBy>
  <cp:lastPrinted>2001-10-29T10:10:00Z</cp:lastPrinted>
  <dcterms:modified xsi:type="dcterms:W3CDTF">2001-10-29T14:18:00Z</dcterms:modified>
  <cp:revision>18</cp:revision>
  <dc:subject/>
  <dc:title>In 1991 the Convertibility Plan was launched in Argentina, which brought inflation under control and initiated an unprecedente</dc:title>
</cp:coreProperties>
</file>