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2"/>
          <w:u w:val="single"/>
        </w:rPr>
      </w:pPr>
      <w:r>
        <w:rPr>
          <w:b/>
          <w:sz w:val="22"/>
          <w:u w:val="single"/>
        </w:rPr>
        <w:t>ARGENTINA AND THE DEVALUATION RISK</w:t>
      </w:r>
    </w:p>
    <w:p>
      <w:pPr>
        <w:pStyle w:val="BodyText"/>
        <w:jc w:val="center"/>
        <w:rPr>
          <w:b/>
          <w:sz w:val="22"/>
          <w:u w:val="single"/>
        </w:rPr>
      </w:pPr>
      <w:r>
        <w:rPr>
          <w:b/>
          <w:sz w:val="22"/>
          <w:u w:val="single"/>
        </w:rPr>
        <w:t>November 2000</w:t>
      </w:r>
    </w:p>
    <w:p>
      <w:pPr>
        <w:pStyle w:val="Normal"/>
        <w:jc w:val="both"/>
        <w:rPr>
          <w:b/>
          <w:sz w:val="22"/>
          <w:u w:val="single"/>
        </w:rPr>
      </w:pPr>
      <w:r>
        <w:rPr>
          <w:b/>
          <w:sz w:val="22"/>
          <w:u w:val="single"/>
        </w:rPr>
      </w:r>
    </w:p>
    <w:p>
      <w:pPr>
        <w:pStyle w:val="Heading5"/>
        <w:ind w:hanging="0" w:start="0"/>
        <w:rPr/>
      </w:pPr>
      <w:r>
        <w:rPr/>
        <w:t>A. General</w:t>
      </w:r>
    </w:p>
    <w:p>
      <w:pPr>
        <w:pStyle w:val="Normal"/>
        <w:jc w:val="both"/>
        <w:rPr>
          <w:sz w:val="22"/>
          <w:u w:val="single"/>
        </w:rPr>
      </w:pPr>
      <w:r>
        <w:rPr>
          <w:sz w:val="22"/>
          <w:u w:val="single"/>
        </w:rPr>
      </w:r>
    </w:p>
    <w:p>
      <w:pPr>
        <w:pStyle w:val="Normal"/>
        <w:numPr>
          <w:ilvl w:val="0"/>
          <w:numId w:val="3"/>
        </w:numPr>
        <w:jc w:val="both"/>
        <w:rPr>
          <w:sz w:val="22"/>
          <w:u w:val="single"/>
        </w:rPr>
      </w:pPr>
      <w:r>
        <w:rPr>
          <w:sz w:val="22"/>
          <w:u w:val="single"/>
        </w:rPr>
        <w:t>Argentina Convertibility Law N° 23,928.</w:t>
      </w:r>
    </w:p>
    <w:p>
      <w:pPr>
        <w:pStyle w:val="Normal"/>
        <w:jc w:val="both"/>
        <w:rPr>
          <w:sz w:val="22"/>
          <w:u w:val="single"/>
        </w:rPr>
      </w:pPr>
      <w:r>
        <w:rPr>
          <w:sz w:val="22"/>
          <w:u w:val="single"/>
        </w:rPr>
      </w:r>
    </w:p>
    <w:p>
      <w:pPr>
        <w:pStyle w:val="Normal"/>
        <w:jc w:val="both"/>
        <w:rPr>
          <w:sz w:val="22"/>
        </w:rPr>
      </w:pPr>
      <w:r>
        <w:rPr>
          <w:sz w:val="22"/>
        </w:rPr>
        <w:t>The Convertibility Law passed on March 1991 determined the following:</w:t>
      </w:r>
    </w:p>
    <w:p>
      <w:pPr>
        <w:pStyle w:val="Normal"/>
        <w:numPr>
          <w:ilvl w:val="0"/>
          <w:numId w:val="9"/>
        </w:numPr>
        <w:jc w:val="both"/>
        <w:rPr>
          <w:sz w:val="22"/>
        </w:rPr>
      </w:pPr>
      <w:r>
        <w:rPr>
          <w:sz w:val="22"/>
        </w:rPr>
        <w:t>Established a fixed exchange rate between the dollar and the national currency (1 dollar = 10,000 Australes, latter defined as equal to 1 peso)</w:t>
      </w:r>
    </w:p>
    <w:p>
      <w:pPr>
        <w:pStyle w:val="Normal"/>
        <w:numPr>
          <w:ilvl w:val="0"/>
          <w:numId w:val="9"/>
        </w:numPr>
        <w:jc w:val="both"/>
        <w:rPr>
          <w:sz w:val="22"/>
        </w:rPr>
      </w:pPr>
      <w:r>
        <w:rPr>
          <w:sz w:val="22"/>
        </w:rPr>
        <w:t>The Central Bank (Argentine Federal Reserve) must permanently have international reserves (dollars, gold, other currencies) available to back 100% of the monetary base. The Central Bank must sell all required dollars at the fixed exchange rate.</w:t>
      </w:r>
    </w:p>
    <w:p>
      <w:pPr>
        <w:pStyle w:val="Normal"/>
        <w:numPr>
          <w:ilvl w:val="0"/>
          <w:numId w:val="9"/>
        </w:numPr>
        <w:jc w:val="both"/>
        <w:rPr>
          <w:sz w:val="22"/>
        </w:rPr>
      </w:pPr>
      <w:r>
        <w:rPr>
          <w:sz w:val="22"/>
        </w:rPr>
        <w:t>It is forbidden any price adjustment clause by an index.</w:t>
      </w:r>
    </w:p>
    <w:p>
      <w:pPr>
        <w:pStyle w:val="Normal"/>
        <w:numPr>
          <w:ilvl w:val="0"/>
          <w:numId w:val="9"/>
        </w:numPr>
        <w:jc w:val="both"/>
        <w:rPr>
          <w:sz w:val="22"/>
        </w:rPr>
      </w:pPr>
      <w:r>
        <w:rPr>
          <w:sz w:val="22"/>
        </w:rPr>
        <w:t>For all transactions agreed upon before the Law, prices could not be larger than the contractual price, adjusted by the exchange rate variation plus 12% a year (section 9). This section affected contracts in force.</w:t>
      </w:r>
    </w:p>
    <w:p>
      <w:pPr>
        <w:pStyle w:val="Normal"/>
        <w:jc w:val="both"/>
        <w:rPr>
          <w:sz w:val="22"/>
        </w:rPr>
      </w:pPr>
      <w:r>
        <w:rPr>
          <w:sz w:val="22"/>
        </w:rPr>
      </w:r>
    </w:p>
    <w:p>
      <w:pPr>
        <w:pStyle w:val="Normal"/>
        <w:numPr>
          <w:ilvl w:val="0"/>
          <w:numId w:val="3"/>
        </w:numPr>
        <w:tabs>
          <w:tab w:val="clear" w:pos="708"/>
          <w:tab w:val="left" w:pos="495" w:leader="none"/>
        </w:tabs>
        <w:ind w:hanging="360" w:start="435" w:end="0"/>
        <w:jc w:val="both"/>
        <w:rPr>
          <w:sz w:val="22"/>
          <w:u w:val="single"/>
        </w:rPr>
      </w:pPr>
      <w:r>
        <w:rPr>
          <w:sz w:val="22"/>
          <w:u w:val="single"/>
        </w:rPr>
        <w:t>Legal requirements for a devaluation</w:t>
      </w:r>
    </w:p>
    <w:p>
      <w:pPr>
        <w:pStyle w:val="Normal"/>
        <w:jc w:val="both"/>
        <w:rPr>
          <w:sz w:val="22"/>
          <w:u w:val="single"/>
        </w:rPr>
      </w:pPr>
      <w:r>
        <w:rPr>
          <w:sz w:val="22"/>
          <w:u w:val="single"/>
        </w:rPr>
      </w:r>
    </w:p>
    <w:p>
      <w:pPr>
        <w:pStyle w:val="Normal"/>
        <w:jc w:val="both"/>
        <w:rPr>
          <w:sz w:val="22"/>
        </w:rPr>
      </w:pPr>
      <w:r>
        <w:rPr>
          <w:sz w:val="22"/>
        </w:rPr>
        <w:t>To modify the exchange rate, it would be necessary to abolish or amend the Convertibility Law.</w:t>
      </w:r>
    </w:p>
    <w:p>
      <w:pPr>
        <w:pStyle w:val="Normal"/>
        <w:jc w:val="both"/>
        <w:rPr>
          <w:sz w:val="22"/>
        </w:rPr>
      </w:pPr>
      <w:r>
        <w:rPr>
          <w:sz w:val="22"/>
        </w:rPr>
        <w:t xml:space="preserve">In such regards, the Congress would have to abolish the Convertibility Law or keep the Convertibility at a different exchange rate. </w:t>
      </w:r>
    </w:p>
    <w:p>
      <w:pPr>
        <w:pStyle w:val="Normal"/>
        <w:jc w:val="both"/>
        <w:rPr>
          <w:sz w:val="22"/>
        </w:rPr>
      </w:pPr>
      <w:r>
        <w:rPr>
          <w:sz w:val="22"/>
        </w:rPr>
        <w:t>Although in principle a devaluation should not affect contracts with prices set in dollars, even the Convertibility Law has affected contracts that were in force.</w:t>
      </w:r>
    </w:p>
    <w:p>
      <w:pPr>
        <w:pStyle w:val="Normal"/>
        <w:jc w:val="both"/>
        <w:rPr>
          <w:sz w:val="22"/>
        </w:rPr>
      </w:pPr>
      <w:r>
        <w:rPr>
          <w:sz w:val="22"/>
        </w:rPr>
        <w:t>So, there is a potential risk that the eventual amendment of the Convertibility Law could affect contracts in force.</w:t>
      </w:r>
    </w:p>
    <w:p>
      <w:pPr>
        <w:pStyle w:val="Normal"/>
        <w:jc w:val="both"/>
        <w:rPr>
          <w:sz w:val="22"/>
        </w:rPr>
      </w:pPr>
      <w:r>
        <w:rPr>
          <w:sz w:val="22"/>
        </w:rPr>
      </w:r>
    </w:p>
    <w:p>
      <w:pPr>
        <w:pStyle w:val="Normal"/>
        <w:numPr>
          <w:ilvl w:val="0"/>
          <w:numId w:val="3"/>
        </w:numPr>
        <w:tabs>
          <w:tab w:val="clear" w:pos="708"/>
          <w:tab w:val="left" w:pos="495" w:leader="none"/>
        </w:tabs>
        <w:ind w:hanging="360" w:start="435" w:end="0"/>
        <w:jc w:val="both"/>
        <w:rPr>
          <w:sz w:val="22"/>
          <w:u w:val="single"/>
        </w:rPr>
      </w:pPr>
      <w:r>
        <w:rPr>
          <w:sz w:val="22"/>
          <w:u w:val="single"/>
        </w:rPr>
        <w:t>Impact on the Energy Sector</w:t>
      </w:r>
    </w:p>
    <w:p>
      <w:pPr>
        <w:pStyle w:val="Normal"/>
        <w:ind w:start="75" w:end="0"/>
        <w:jc w:val="both"/>
        <w:rPr>
          <w:sz w:val="22"/>
          <w:u w:val="single"/>
        </w:rPr>
      </w:pPr>
      <w:r>
        <w:rPr>
          <w:sz w:val="22"/>
          <w:u w:val="single"/>
        </w:rPr>
      </w:r>
    </w:p>
    <w:p>
      <w:pPr>
        <w:pStyle w:val="Heading2"/>
        <w:ind w:hanging="0" w:start="708" w:end="0"/>
        <w:rPr>
          <w:rFonts w:ascii="Times New Roman" w:hAnsi="Times New Roman" w:cs="Times New Roman"/>
          <w:sz w:val="22"/>
        </w:rPr>
      </w:pPr>
      <w:r>
        <w:rPr>
          <w:rFonts w:cs="Times New Roman" w:ascii="Times New Roman" w:hAnsi="Times New Roman"/>
          <w:sz w:val="22"/>
        </w:rPr>
        <w:t>Natural Gas</w:t>
      </w:r>
    </w:p>
    <w:p>
      <w:pPr>
        <w:pStyle w:val="Normal"/>
        <w:numPr>
          <w:ilvl w:val="0"/>
          <w:numId w:val="10"/>
        </w:numPr>
        <w:ind w:hanging="360" w:start="1068" w:end="0"/>
        <w:jc w:val="both"/>
        <w:rPr>
          <w:sz w:val="22"/>
        </w:rPr>
      </w:pPr>
      <w:r>
        <w:rPr>
          <w:sz w:val="22"/>
        </w:rPr>
        <w:t>Production: Prices at the wellhead are established in dollars.</w:t>
      </w:r>
    </w:p>
    <w:p>
      <w:pPr>
        <w:pStyle w:val="Normal"/>
        <w:numPr>
          <w:ilvl w:val="0"/>
          <w:numId w:val="10"/>
        </w:numPr>
        <w:ind w:hanging="360" w:start="1068" w:end="0"/>
        <w:jc w:val="both"/>
        <w:rPr>
          <w:sz w:val="22"/>
        </w:rPr>
      </w:pPr>
      <w:r>
        <w:rPr>
          <w:sz w:val="22"/>
        </w:rPr>
        <w:t>Transportation &amp; Distribution: rates are established in dollars.</w:t>
      </w:r>
    </w:p>
    <w:p>
      <w:pPr>
        <w:pStyle w:val="Normal"/>
        <w:numPr>
          <w:ilvl w:val="0"/>
          <w:numId w:val="10"/>
        </w:numPr>
        <w:ind w:hanging="360" w:start="1068" w:end="0"/>
        <w:jc w:val="both"/>
        <w:rPr>
          <w:sz w:val="22"/>
        </w:rPr>
      </w:pPr>
      <w:r>
        <w:rPr>
          <w:sz w:val="22"/>
        </w:rPr>
        <w:t>Marketers: The standard is that the rates are set in dollars. Enron Natural Gas Sales Contracts set rates in dollars.</w:t>
      </w:r>
    </w:p>
    <w:p>
      <w:pPr>
        <w:pStyle w:val="BodyTextIndent"/>
        <w:rPr>
          <w:rFonts w:ascii="Times New Roman" w:hAnsi="Times New Roman" w:cs="Times New Roman"/>
          <w:color w:val="000000"/>
          <w:sz w:val="22"/>
        </w:rPr>
      </w:pPr>
      <w:r>
        <w:rPr>
          <w:rFonts w:cs="Times New Roman" w:ascii="Times New Roman" w:hAnsi="Times New Roman"/>
          <w:color w:val="000000"/>
          <w:sz w:val="22"/>
        </w:rPr>
        <w:t>Since the natural gas industry uses the dollar as the standard currency, it should be protected under the event of a devaluation that respects contracts in force.</w:t>
      </w:r>
    </w:p>
    <w:p>
      <w:pPr>
        <w:pStyle w:val="Heading2"/>
        <w:ind w:hanging="0" w:start="705" w:end="0"/>
        <w:rPr>
          <w:rFonts w:ascii="Times New Roman" w:hAnsi="Times New Roman" w:cs="Times New Roman"/>
          <w:sz w:val="22"/>
        </w:rPr>
      </w:pPr>
      <w:r>
        <w:rPr>
          <w:rFonts w:cs="Times New Roman" w:ascii="Times New Roman" w:hAnsi="Times New Roman"/>
          <w:sz w:val="22"/>
        </w:rPr>
        <w:t>Electricity</w:t>
      </w:r>
    </w:p>
    <w:p>
      <w:pPr>
        <w:pStyle w:val="Normal"/>
        <w:numPr>
          <w:ilvl w:val="0"/>
          <w:numId w:val="6"/>
        </w:numPr>
        <w:ind w:hanging="360" w:start="1065" w:end="0"/>
        <w:jc w:val="both"/>
        <w:rPr>
          <w:sz w:val="22"/>
        </w:rPr>
      </w:pPr>
      <w:r>
        <w:rPr>
          <w:sz w:val="22"/>
        </w:rPr>
        <w:t>Generation: Prices established in the PPAs are normally in dollars. Marginal Cost declared to CAMMESA (ISO) by Gencos are in pesos, but based on costs that are set in dollars (natural gas, fuel oil, diesel). CAMMESA determines the spot price based on Genco’s marginal cost declaration.</w:t>
      </w:r>
    </w:p>
    <w:p>
      <w:pPr>
        <w:pStyle w:val="Normal"/>
        <w:numPr>
          <w:ilvl w:val="0"/>
          <w:numId w:val="10"/>
        </w:numPr>
        <w:ind w:hanging="360" w:start="1068" w:end="0"/>
        <w:jc w:val="both"/>
        <w:rPr>
          <w:sz w:val="22"/>
        </w:rPr>
      </w:pPr>
      <w:r>
        <w:rPr>
          <w:sz w:val="22"/>
        </w:rPr>
        <w:t>Transmission &amp; Distribution: Rates are established in dollars.</w:t>
      </w:r>
    </w:p>
    <w:p>
      <w:pPr>
        <w:pStyle w:val="Normal"/>
        <w:numPr>
          <w:ilvl w:val="0"/>
          <w:numId w:val="6"/>
        </w:numPr>
        <w:ind w:hanging="360" w:start="1065" w:end="0"/>
        <w:jc w:val="both"/>
        <w:rPr>
          <w:sz w:val="22"/>
        </w:rPr>
      </w:pPr>
      <w:r>
        <w:rPr>
          <w:sz w:val="22"/>
        </w:rPr>
        <w:t>Marketers: The standard is that the rates are set in dollars. Enron’s PPAs set rates in dollars.</w:t>
      </w:r>
    </w:p>
    <w:p>
      <w:pPr>
        <w:pStyle w:val="BodyTextIndent2"/>
        <w:rPr>
          <w:rFonts w:ascii="Times New Roman" w:hAnsi="Times New Roman" w:cs="Times New Roman"/>
          <w:sz w:val="22"/>
        </w:rPr>
      </w:pPr>
      <w:r>
        <w:rPr>
          <w:rFonts w:cs="Times New Roman" w:ascii="Times New Roman" w:hAnsi="Times New Roman"/>
          <w:sz w:val="22"/>
        </w:rPr>
        <w:t>Since the power industry basically uses the dollar as the standard currency, it should be protected under the event of a devaluation that respects contracts in force. In the case of the spot price determined by CAMMESA, there could be a time lag between the devaluation and the new marginal cost declaration. However in case of a variation of the marginal cost larger than 10%, generators can modify their cost declaration.</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p>
      <w:pPr>
        <w:pStyle w:val="Normal"/>
        <w:jc w:val="both"/>
        <w:rPr>
          <w:b/>
          <w:sz w:val="22"/>
          <w:u w:val="single"/>
        </w:rPr>
      </w:pPr>
      <w:r>
        <w:rPr>
          <w:b/>
          <w:sz w:val="22"/>
          <w:u w:val="single"/>
        </w:rPr>
        <w:t>B. MACROECONOMIC ISSUES:</w:t>
      </w:r>
    </w:p>
    <w:p>
      <w:pPr>
        <w:pStyle w:val="BodyText"/>
        <w:rPr>
          <w:b/>
          <w:sz w:val="22"/>
          <w:u w:val="single"/>
        </w:rPr>
      </w:pPr>
      <w:r>
        <w:rPr>
          <w:b/>
          <w:sz w:val="22"/>
          <w:u w:val="single"/>
        </w:rPr>
      </w:r>
    </w:p>
    <w:p>
      <w:pPr>
        <w:pStyle w:val="Normal"/>
        <w:jc w:val="both"/>
        <w:rPr>
          <w:b/>
          <w:sz w:val="22"/>
        </w:rPr>
      </w:pPr>
      <w:r>
        <w:rPr>
          <w:b/>
          <w:sz w:val="22"/>
        </w:rPr>
      </w:r>
    </w:p>
    <w:p>
      <w:pPr>
        <w:pStyle w:val="Normal"/>
        <w:numPr>
          <w:ilvl w:val="0"/>
          <w:numId w:val="7"/>
        </w:numPr>
        <w:tabs>
          <w:tab w:val="clear" w:pos="708"/>
          <w:tab w:val="left" w:pos="0" w:leader="none"/>
        </w:tabs>
        <w:ind w:hanging="0" w:start="0" w:end="0"/>
        <w:jc w:val="both"/>
        <w:rPr>
          <w:sz w:val="22"/>
        </w:rPr>
      </w:pPr>
      <w:r>
        <w:rPr>
          <w:b/>
          <w:sz w:val="22"/>
        </w:rPr>
        <w:t>The performance of the monetary fundamentals does not anticipate any devaluation risk.</w:t>
      </w:r>
      <w:r>
        <w:rPr>
          <w:sz w:val="22"/>
        </w:rPr>
        <w:t xml:space="preserve"> </w:t>
      </w:r>
      <w:r>
        <w:rPr>
          <w:b/>
          <w:sz w:val="22"/>
        </w:rPr>
        <w:t>1.1)</w:t>
      </w:r>
      <w:r>
        <w:rPr>
          <w:sz w:val="22"/>
        </w:rPr>
        <w:t xml:space="preserve"> If we analyze the performance of International Reserve, there has not been any decrease that threatens the continuity of the currency board. The total stock of International Reserves was on average US$34,4 bn during October´00, which represented an increase of +US$0.9 bn compared to September ´00 and +US$1 bn with respect to December´99-August´00 average. On the other hand, devaluation risk is small because the ratio between International Reserves and the liabilities of the Central Bank ascended to 103.6% in October´00, which represented an increase of +280 bps and +320 bps with respect to September´00 and to December´99-August´00; respectively.</w:t>
      </w:r>
      <w:r>
        <mc:AlternateContent>
          <mc:Choice Requires="wps">
            <w:drawing>
              <wp:anchor behindDoc="0" distT="0" distB="0" distL="114935" distR="114935" simplePos="0" locked="0" layoutInCell="0" allowOverlap="1" relativeHeight="8">
                <wp:simplePos x="0" y="0"/>
                <wp:positionH relativeFrom="column">
                  <wp:posOffset>1841500</wp:posOffset>
                </wp:positionH>
                <wp:positionV relativeFrom="paragraph">
                  <wp:posOffset>165735</wp:posOffset>
                </wp:positionV>
                <wp:extent cx="3847465" cy="2348230"/>
                <wp:effectExtent l="0" t="0" r="0" b="0"/>
                <wp:wrapSquare wrapText="bothSides"/>
                <wp:docPr id="1" name="Frame1"/>
                <a:graphic xmlns:a="http://schemas.openxmlformats.org/drawingml/2006/main">
                  <a:graphicData uri="http://schemas.microsoft.com/office/word/2010/wordprocessingShape">
                    <wps:wsp>
                      <wps:cNvSpPr txBox="1"/>
                      <wps:spPr>
                        <a:xfrm>
                          <a:off x="0" y="0"/>
                          <a:ext cx="3847465" cy="2348230"/>
                        </a:xfrm>
                        <a:prstGeom prst="rect"/>
                        <a:solidFill>
                          <a:srgbClr val="FFFFFF"/>
                        </a:solidFill>
                        <a:ln w="9525">
                          <a:solidFill>
                            <a:srgbClr val="000000"/>
                          </a:solidFill>
                        </a:ln>
                      </wps:spPr>
                      <wps:txbx>
                        <w:txbxContent>
                          <w:p>
                            <w:pPr>
                              <w:pStyle w:val="Normal"/>
                              <w:rPr>
                                <w:sz w:val="22"/>
                              </w:rPr>
                            </w:pPr>
                            <w:r>
                              <w:rPr>
                                <w:sz w:val="22"/>
                              </w:rPr>
                              <w:drawing>
                                <wp:inline distT="0" distB="0" distL="0" distR="0">
                                  <wp:extent cx="3649345" cy="22352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 t="-5" r="-3" b="-5"/>
                                          <a:stretch>
                                            <a:fillRect/>
                                          </a:stretch>
                                        </pic:blipFill>
                                        <pic:spPr bwMode="auto">
                                          <a:xfrm>
                                            <a:off x="0" y="0"/>
                                            <a:ext cx="3649345" cy="223520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302.95pt;height:184.9pt;mso-wrap-distance-left:9.05pt;mso-wrap-distance-right:9.05pt;mso-wrap-distance-top:0pt;mso-wrap-distance-bottom:0pt;margin-top:13.05pt;mso-position-vertical-relative:text;margin-left:145pt;mso-position-horizontal-relative:text">
                <v:textbox>
                  <w:txbxContent>
                    <w:p>
                      <w:pPr>
                        <w:pStyle w:val="Normal"/>
                        <w:rPr>
                          <w:sz w:val="22"/>
                        </w:rPr>
                      </w:pPr>
                      <w:r>
                        <w:rPr>
                          <w:sz w:val="22"/>
                        </w:rPr>
                        <w:drawing>
                          <wp:inline distT="0" distB="0" distL="0" distR="0">
                            <wp:extent cx="3649345" cy="2235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 t="-5" r="-3" b="-5"/>
                                    <a:stretch>
                                      <a:fillRect/>
                                    </a:stretch>
                                  </pic:blipFill>
                                  <pic:spPr bwMode="auto">
                                    <a:xfrm>
                                      <a:off x="0" y="0"/>
                                      <a:ext cx="3649345" cy="2235200"/>
                                    </a:xfrm>
                                    <a:prstGeom prst="rect">
                                      <a:avLst/>
                                    </a:prstGeom>
                                    <a:noFill/>
                                  </pic:spPr>
                                </pic:pic>
                              </a:graphicData>
                            </a:graphic>
                          </wp:inline>
                        </w:drawing>
                      </w:r>
                    </w:p>
                  </w:txbxContent>
                </v:textbox>
                <w10:wrap type="square"/>
              </v:rect>
            </w:pict>
          </mc:Fallback>
        </mc:AlternateContent>
      </w:r>
    </w:p>
    <w:p>
      <w:pPr>
        <w:pStyle w:val="Normal"/>
        <w:jc w:val="both"/>
        <w:rPr/>
      </w:pPr>
      <w:r>
        <w:rPr>
          <w:b/>
          <w:sz w:val="22"/>
        </w:rPr>
        <w:t xml:space="preserve">1.2) </w:t>
      </w:r>
      <w:r>
        <w:rPr>
          <w:sz w:val="22"/>
        </w:rPr>
        <w:t>The performance of the deposits in the bank system also does not support a devaluation. The total stock of deposits in the bank system was in average US$86.6 bn in October´00 that represented an increase of +US$0.4 bn (+0.5%) and +US$2.7 bn (+3.27%) with respect to September´00 and December´99-August´00; respectively.</w:t>
      </w:r>
    </w:p>
    <w:p>
      <w:pPr>
        <w:pStyle w:val="Normal"/>
        <w:jc w:val="both"/>
        <w:rPr>
          <w:sz w:val="22"/>
        </w:rPr>
      </w:pPr>
      <w:r>
        <w:rPr>
          <w:sz w:val="22"/>
        </w:rPr>
      </w:r>
    </w:p>
    <w:p>
      <w:pPr>
        <w:pStyle w:val="Normal"/>
        <w:jc w:val="both"/>
        <w:rPr/>
      </w:pPr>
      <w:r>
        <w:rPr>
          <w:b/>
          <w:sz w:val="22"/>
        </w:rPr>
        <w:t>2)</w:t>
      </w:r>
      <w:r>
        <w:rPr>
          <w:sz w:val="22"/>
        </w:rPr>
        <w:t xml:space="preserve"> </w:t>
      </w:r>
      <w:r>
        <w:rPr>
          <w:b/>
          <w:sz w:val="22"/>
        </w:rPr>
        <w:t xml:space="preserve">The “balance sheet” positions of the public and private sectors do not allow any devaluation of the exchange rate. </w:t>
      </w:r>
      <w:r>
        <w:rPr>
          <w:sz w:val="22"/>
        </w:rPr>
        <w:t xml:space="preserve">The attached table shows the financial balance sheets of the public sector, financial system, firms and households. The table clearly shows that devaluation would have a very negative financial impact on the positions of the public sector and firms that presently have more than 80% of their liabilities in US dollars. In the case of the public sector, the negative impact of a devaluation on its financial position would be stressed by the fact that all its revenues are in Argentinean pesos. </w:t>
      </w:r>
      <w:r>
        <mc:AlternateContent>
          <mc:Choice Requires="wps">
            <w:drawing>
              <wp:anchor behindDoc="0" distT="0" distB="0" distL="114935" distR="114935" simplePos="0" locked="0" layoutInCell="0" allowOverlap="1" relativeHeight="2">
                <wp:simplePos x="0" y="0"/>
                <wp:positionH relativeFrom="column">
                  <wp:posOffset>2298700</wp:posOffset>
                </wp:positionH>
                <wp:positionV relativeFrom="paragraph">
                  <wp:posOffset>447675</wp:posOffset>
                </wp:positionV>
                <wp:extent cx="3390265" cy="989330"/>
                <wp:effectExtent l="0" t="0" r="0" b="0"/>
                <wp:wrapSquare wrapText="bothSides"/>
                <wp:docPr id="4" name="Frame3"/>
                <a:graphic xmlns:a="http://schemas.openxmlformats.org/drawingml/2006/main">
                  <a:graphicData uri="http://schemas.microsoft.com/office/word/2010/wordprocessingShape">
                    <wps:wsp>
                      <wps:cNvSpPr txBox="1"/>
                      <wps:spPr>
                        <a:xfrm>
                          <a:off x="0" y="0"/>
                          <a:ext cx="3390265" cy="989330"/>
                        </a:xfrm>
                        <a:prstGeom prst="rect"/>
                        <a:solidFill>
                          <a:srgbClr val="FFFFFF"/>
                        </a:solidFill>
                        <a:ln w="9525">
                          <a:solidFill>
                            <a:srgbClr val="000000"/>
                          </a:solidFill>
                        </a:ln>
                      </wps:spPr>
                      <wps:txbx>
                        <w:txbxContent>
                          <w:p>
                            <w:pPr>
                              <w:pStyle w:val="Normal"/>
                              <w:rPr>
                                <w:sz w:val="24"/>
                              </w:rPr>
                            </w:pPr>
                            <w:r>
                              <w:rPr>
                                <w:sz w:val="24"/>
                              </w:rPr>
                              <w:drawing>
                                <wp:inline distT="0" distB="0" distL="0" distR="0">
                                  <wp:extent cx="3188970" cy="8794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10" t="-35" r="-10" b="-35"/>
                                          <a:stretch>
                                            <a:fillRect/>
                                          </a:stretch>
                                        </pic:blipFill>
                                        <pic:spPr bwMode="auto">
                                          <a:xfrm>
                                            <a:off x="0" y="0"/>
                                            <a:ext cx="3188970" cy="8794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66.95pt;height:77.9pt;mso-wrap-distance-left:9.05pt;mso-wrap-distance-right:9.05pt;mso-wrap-distance-top:0pt;mso-wrap-distance-bottom:0pt;margin-top:35.25pt;mso-position-vertical-relative:text;margin-left:181pt;mso-position-horizontal-relative:text">
                <v:textbox>
                  <w:txbxContent>
                    <w:p>
                      <w:pPr>
                        <w:pStyle w:val="Normal"/>
                        <w:rPr>
                          <w:sz w:val="24"/>
                        </w:rPr>
                      </w:pPr>
                      <w:r>
                        <w:rPr>
                          <w:sz w:val="24"/>
                        </w:rPr>
                        <w:drawing>
                          <wp:inline distT="0" distB="0" distL="0" distR="0">
                            <wp:extent cx="3188970" cy="8794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10" t="-35" r="-10" b="-35"/>
                                    <a:stretch>
                                      <a:fillRect/>
                                    </a:stretch>
                                  </pic:blipFill>
                                  <pic:spPr bwMode="auto">
                                    <a:xfrm>
                                      <a:off x="0" y="0"/>
                                      <a:ext cx="3188970" cy="879475"/>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4935" distR="114935" simplePos="0" locked="0" layoutInCell="0" allowOverlap="1" relativeHeight="4">
                <wp:simplePos x="0" y="0"/>
                <wp:positionH relativeFrom="column">
                  <wp:posOffset>2390140</wp:posOffset>
                </wp:positionH>
                <wp:positionV relativeFrom="paragraph">
                  <wp:posOffset>1544955</wp:posOffset>
                </wp:positionV>
                <wp:extent cx="3383915" cy="2879090"/>
                <wp:effectExtent l="0" t="0" r="0" b="0"/>
                <wp:wrapSquare wrapText="bothSides"/>
                <wp:docPr id="7" name="Frame2"/>
                <a:graphic xmlns:a="http://schemas.openxmlformats.org/drawingml/2006/main">
                  <a:graphicData uri="http://schemas.microsoft.com/office/word/2010/wordprocessingShape">
                    <wps:wsp>
                      <wps:cNvSpPr txBox="1"/>
                      <wps:spPr>
                        <a:xfrm>
                          <a:off x="0" y="0"/>
                          <a:ext cx="3383915" cy="2879090"/>
                        </a:xfrm>
                        <a:prstGeom prst="rect"/>
                        <a:solidFill>
                          <a:srgbClr val="FFFFFF"/>
                        </a:solidFill>
                        <a:ln w="9525">
                          <a:solidFill>
                            <a:srgbClr val="000000"/>
                          </a:solidFill>
                        </a:ln>
                      </wps:spPr>
                      <wps:txbx>
                        <w:txbxContent>
                          <w:p>
                            <w:pPr>
                              <w:pStyle w:val="Normal"/>
                              <w:rPr/>
                            </w:pPr>
                            <w:r>
                              <w:rPr/>
                              <w:object w:dxaOrig="16641" w:dyaOrig="1152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50.45pt;height:217.9pt" filled="f" o:ole="">
                                  <v:imagedata r:id="rId7" o:title=""/>
                                </v:shape>
                                <o:OLEObject Type="Embed" ProgID="Excel.Sheet.12" ShapeID="ole_rId6" DrawAspect="Content" ObjectID="_1858053643" r:id="rId6"/>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66.45pt;height:226.7pt;mso-wrap-distance-left:9.05pt;mso-wrap-distance-right:9.05pt;mso-wrap-distance-top:0pt;mso-wrap-distance-bottom:0pt;margin-top:121.65pt;mso-position-vertical-relative:text;margin-left:188.2pt;mso-position-horizontal-relative:text">
                <v:textbox>
                  <w:txbxContent>
                    <w:p>
                      <w:pPr>
                        <w:pStyle w:val="Normal"/>
                        <w:rPr/>
                      </w:pPr>
                      <w:r>
                        <w:rPr/>
                        <w:object w:dxaOrig="16641" w:dyaOrig="1152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50.45pt;height:217.9pt" filled="f" o:ole="">
                            <v:imagedata r:id="rId9" o:title=""/>
                          </v:shape>
                          <o:OLEObject Type="Embed" ProgID="Excel.Sheet.12" ShapeID="ole_rId8" DrawAspect="Content" ObjectID="_416090674" r:id="rId8"/>
                        </w:object>
                      </w:r>
                    </w:p>
                  </w:txbxContent>
                </v:textbox>
                <w10:wrap type="square"/>
              </v:rect>
            </w:pict>
          </mc:Fallback>
        </mc:AlternateContent>
      </w:r>
    </w:p>
    <w:p>
      <w:pPr>
        <w:pStyle w:val="Normal"/>
        <w:jc w:val="both"/>
        <w:rPr>
          <w:sz w:val="22"/>
        </w:rPr>
      </w:pPr>
      <w:r>
        <w:rPr>
          <w:sz w:val="22"/>
        </w:rPr>
      </w:r>
    </w:p>
    <w:p>
      <w:pPr>
        <w:pStyle w:val="Normal"/>
        <w:jc w:val="both"/>
        <w:rPr/>
      </w:pPr>
      <w:r>
        <w:rPr>
          <w:b/>
          <w:sz w:val="22"/>
        </w:rPr>
        <w:t>3)</w:t>
      </w:r>
      <w:r>
        <w:rPr>
          <w:sz w:val="22"/>
        </w:rPr>
        <w:t xml:space="preserve"> </w:t>
      </w:r>
      <w:r>
        <w:rPr>
          <w:b/>
          <w:sz w:val="22"/>
        </w:rPr>
        <w:t xml:space="preserve">The Argentinean economy is already highly dollarized. </w:t>
      </w:r>
      <w:r>
        <w:rPr>
          <w:sz w:val="22"/>
        </w:rPr>
        <w:t>As it can be seen from the attached graphic, the relative importance of the private deposits nominated in American dollars is growing and it is higher than the 65% of the total amount of private deposits.</w:t>
      </w:r>
      <w:r>
        <w:rPr>
          <w:b/>
          <w:sz w:val="24"/>
        </w:rPr>
        <w:t xml:space="preserve">  </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b/>
          <w:sz w:val="22"/>
        </w:rPr>
        <w:t xml:space="preserve">4) Devaluation will not boost Argentinean exports. </w:t>
      </w:r>
      <w:r>
        <w:rPr>
          <w:sz w:val="22"/>
        </w:rPr>
        <w:t>Argentinean exports are basically commodities, which present very low price demand elasticity. Thus a reduction of their price in American dollars will not lead an important increase in the quantities exported.  Besides, as it can be seen from the attached graphic, the current exchange rate system has not been an obstacle for export expansion during these last ten years when exports have grown US$14.5 bn (+120.8%).</w:t>
      </w:r>
      <w:r>
        <mc:AlternateContent>
          <mc:Choice Requires="wps">
            <w:drawing>
              <wp:anchor behindDoc="0" distT="0" distB="0" distL="114935" distR="114935" simplePos="0" locked="0" layoutInCell="0" allowOverlap="1" relativeHeight="5">
                <wp:simplePos x="0" y="0"/>
                <wp:positionH relativeFrom="column">
                  <wp:posOffset>2298700</wp:posOffset>
                </wp:positionH>
                <wp:positionV relativeFrom="paragraph">
                  <wp:posOffset>15240</wp:posOffset>
                </wp:positionV>
                <wp:extent cx="3392170" cy="2068195"/>
                <wp:effectExtent l="0" t="0" r="0" b="0"/>
                <wp:wrapSquare wrapText="bothSides"/>
                <wp:docPr id="8" name="Frame4"/>
                <a:graphic xmlns:a="http://schemas.openxmlformats.org/drawingml/2006/main">
                  <a:graphicData uri="http://schemas.microsoft.com/office/word/2010/wordprocessingShape">
                    <wps:wsp>
                      <wps:cNvSpPr txBox="1"/>
                      <wps:spPr>
                        <a:xfrm>
                          <a:off x="0" y="0"/>
                          <a:ext cx="3392170" cy="2068195"/>
                        </a:xfrm>
                        <a:prstGeom prst="rect"/>
                        <a:solidFill>
                          <a:srgbClr val="FFFFFF"/>
                        </a:solidFill>
                        <a:ln w="9525">
                          <a:solidFill>
                            <a:srgbClr val="000000"/>
                          </a:solidFill>
                        </a:ln>
                      </wps:spPr>
                      <wps:txbx>
                        <w:txbxContent>
                          <w:p>
                            <w:pPr>
                              <w:pStyle w:val="Normal"/>
                              <w:rPr>
                                <w:sz w:val="22"/>
                              </w:rPr>
                            </w:pPr>
                            <w:r>
                              <w:rPr>
                                <w:sz w:val="22"/>
                              </w:rPr>
                              <w:drawing>
                                <wp:inline distT="0" distB="0" distL="0" distR="0">
                                  <wp:extent cx="3186430" cy="1955165"/>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10"/>
                                          <a:srcRect l="-3" t="-5" r="-3" b="-5"/>
                                          <a:stretch>
                                            <a:fillRect/>
                                          </a:stretch>
                                        </pic:blipFill>
                                        <pic:spPr bwMode="auto">
                                          <a:xfrm>
                                            <a:off x="0" y="0"/>
                                            <a:ext cx="3186430" cy="195516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67.1pt;height:162.85pt;mso-wrap-distance-left:9.05pt;mso-wrap-distance-right:9.05pt;mso-wrap-distance-top:0pt;mso-wrap-distance-bottom:0pt;margin-top:1.2pt;mso-position-vertical-relative:text;margin-left:181pt;mso-position-horizontal-relative:text">
                <v:textbox>
                  <w:txbxContent>
                    <w:p>
                      <w:pPr>
                        <w:pStyle w:val="Normal"/>
                        <w:rPr>
                          <w:sz w:val="22"/>
                        </w:rPr>
                      </w:pPr>
                      <w:r>
                        <w:rPr>
                          <w:sz w:val="22"/>
                        </w:rPr>
                        <w:drawing>
                          <wp:inline distT="0" distB="0" distL="0" distR="0">
                            <wp:extent cx="3186430" cy="1955165"/>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1"/>
                                    <a:srcRect l="-3" t="-5" r="-3" b="-5"/>
                                    <a:stretch>
                                      <a:fillRect/>
                                    </a:stretch>
                                  </pic:blipFill>
                                  <pic:spPr bwMode="auto">
                                    <a:xfrm>
                                      <a:off x="0" y="0"/>
                                      <a:ext cx="3186430" cy="1955165"/>
                                    </a:xfrm>
                                    <a:prstGeom prst="rect">
                                      <a:avLst/>
                                    </a:prstGeom>
                                    <a:noFill/>
                                  </pic:spPr>
                                </pic:pic>
                              </a:graphicData>
                            </a:graphic>
                          </wp:inline>
                        </w:drawing>
                      </w:r>
                    </w:p>
                  </w:txbxContent>
                </v:textbox>
                <w10:wrap type="square"/>
              </v:rect>
            </w:pict>
          </mc:Fallback>
        </mc:AlternateContent>
      </w:r>
    </w:p>
    <w:p>
      <w:pPr>
        <w:pStyle w:val="Normal"/>
        <w:jc w:val="both"/>
        <w:rPr>
          <w:sz w:val="22"/>
        </w:rPr>
      </w:pPr>
      <w:r>
        <w:rPr>
          <w:sz w:val="22"/>
        </w:rPr>
      </w:r>
    </w:p>
    <w:p>
      <w:pPr>
        <w:pStyle w:val="Normal"/>
        <w:jc w:val="both"/>
        <w:rPr/>
      </w:pPr>
      <w:r>
        <w:rPr>
          <w:b/>
          <w:sz w:val="22"/>
        </w:rPr>
        <w:t xml:space="preserve">5) Devaluation represents an important political cost that no politician would assume. It cannot be forgotten that the Convertibility Law had been a social demand in 1991 after 25 years of high exchange rate devaluation and inflation. </w:t>
      </w:r>
      <w:r>
        <w:rPr>
          <w:sz w:val="22"/>
        </w:rPr>
        <w:t>In Argentina there are elections practically every year. Even if some politician might believe that, in the long run, devaluation would be good for the country, few politicians are likely to believe it would be good in the short run. With elections every year, a devaluation decision will permanently get pushed into the future. Hence, as in most other fixed exchange-rate regimes, devaluation is not a policy option but rather a situation into which policy-makers are pushed by the market.</w:t>
      </w:r>
    </w:p>
    <w:p>
      <w:pPr>
        <w:pStyle w:val="Normal"/>
        <w:jc w:val="both"/>
        <w:rPr>
          <w:sz w:val="24"/>
        </w:rPr>
      </w:pPr>
      <w:r>
        <w:rPr>
          <w:sz w:val="24"/>
        </w:rPr>
      </w:r>
    </w:p>
    <w:p>
      <w:pPr>
        <w:pStyle w:val="Normal"/>
        <w:numPr>
          <w:ilvl w:val="0"/>
          <w:numId w:val="2"/>
        </w:numPr>
        <w:jc w:val="both"/>
        <w:rPr>
          <w:b/>
          <w:sz w:val="22"/>
        </w:rPr>
      </w:pPr>
      <w:r>
        <w:rPr>
          <w:b/>
          <w:sz w:val="22"/>
        </w:rPr>
        <w:t xml:space="preserve">The elimination or change of the Convertibility Law must be voted in the Federal Congress. Therefore, devaluation cannot be applied “by surprise”, which would be necessary according to the economic theory of a successful renouncement of a fixed exchange rate system.   </w:t>
      </w:r>
    </w:p>
    <w:p>
      <w:pPr>
        <w:pStyle w:val="Normal"/>
        <w:jc w:val="both"/>
        <w:rPr>
          <w:b/>
          <w:sz w:val="22"/>
        </w:rPr>
      </w:pPr>
      <w:r>
        <w:rPr>
          <w:b/>
          <w:sz w:val="22"/>
        </w:rPr>
      </w:r>
    </w:p>
    <w:p>
      <w:pPr>
        <w:pStyle w:val="Normal"/>
        <w:jc w:val="both"/>
        <w:rPr>
          <w:sz w:val="22"/>
        </w:rPr>
      </w:pPr>
      <w:r>
        <w:rPr>
          <w:sz w:val="22"/>
        </w:rPr>
        <w:t>Having in mind these macroeconomic conditions, there are 2 negative scenarios with higher probability than the devaluation scenario.</w:t>
      </w:r>
    </w:p>
    <w:p>
      <w:pPr>
        <w:pStyle w:val="Normal"/>
        <w:jc w:val="both"/>
        <w:rPr>
          <w:sz w:val="22"/>
        </w:rPr>
      </w:pPr>
      <w:r>
        <w:rPr>
          <w:sz w:val="22"/>
        </w:rPr>
      </w:r>
    </w:p>
    <w:p>
      <w:pPr>
        <w:pStyle w:val="Normal"/>
        <w:jc w:val="both"/>
        <w:rPr>
          <w:sz w:val="22"/>
        </w:rPr>
      </w:pPr>
      <w:r>
        <w:rPr>
          <w:sz w:val="22"/>
          <w:u w:val="single"/>
        </w:rPr>
        <w:t>Negative scenario 1 - Default</w:t>
      </w:r>
    </w:p>
    <w:p>
      <w:pPr>
        <w:pStyle w:val="Normal"/>
        <w:jc w:val="both"/>
        <w:rPr>
          <w:sz w:val="22"/>
        </w:rPr>
      </w:pPr>
      <w:r>
        <w:rPr>
          <w:sz w:val="22"/>
        </w:rPr>
        <w:t>Among the negative scenarios this is the more likely. Next year Argentina has large commitments on the foreign debt. Last weeks’ crisis has been based on the fear that Argentina could not be able to refinance its commitments for next year. There is a provisional agreement with the IMF in order to prevent the default scenario.</w:t>
      </w:r>
    </w:p>
    <w:p>
      <w:pPr>
        <w:pStyle w:val="Normal"/>
        <w:jc w:val="both"/>
        <w:rPr>
          <w:sz w:val="22"/>
        </w:rPr>
      </w:pPr>
      <w:r>
        <w:rPr>
          <w:sz w:val="22"/>
        </w:rPr>
      </w:r>
    </w:p>
    <w:p>
      <w:pPr>
        <w:pStyle w:val="Normal"/>
        <w:jc w:val="both"/>
        <w:rPr>
          <w:sz w:val="22"/>
        </w:rPr>
      </w:pPr>
      <w:r>
        <w:rPr>
          <w:sz w:val="22"/>
          <w:u w:val="single"/>
        </w:rPr>
        <w:t>Negative scenario 2 – Forced dollarization</w:t>
      </w:r>
    </w:p>
    <w:p>
      <w:pPr>
        <w:pStyle w:val="Normal"/>
        <w:jc w:val="both"/>
        <w:rPr>
          <w:sz w:val="22"/>
        </w:rPr>
      </w:pPr>
      <w:r>
        <w:rPr>
          <w:sz w:val="22"/>
        </w:rPr>
        <w:t>Under this scenario, people would purchase dollars and the Central Bank would be forced to sell dollars and receive all pesos. The peso would begin to disappear in transactions. Argentina would lose the interest is currently gaining from international reserves. Once people do not accept pesos any more, there is no more risk of devaluation.</w:t>
      </w:r>
    </w:p>
    <w:p>
      <w:pPr>
        <w:pStyle w:val="Normal"/>
        <w:jc w:val="both"/>
        <w:rPr>
          <w:sz w:val="22"/>
        </w:rPr>
      </w:pPr>
      <w:r>
        <w:rPr>
          <w:sz w:val="22"/>
        </w:rPr>
      </w:r>
    </w:p>
    <w:p>
      <w:pPr>
        <w:pStyle w:val="Normal"/>
        <w:jc w:val="both"/>
        <w:rPr>
          <w:sz w:val="22"/>
        </w:rPr>
      </w:pPr>
      <w:r>
        <w:rPr>
          <w:sz w:val="22"/>
        </w:rPr>
        <w:t>Finally, with a lower probability is the event of a devaluation. In such a case, the government could take two directions. In the first one the government would respect the contracts, and TGS would not face major risks. In the second one, the Congress would pass a new law changing current contracts to reduce the social impact of a devaluation. As it was said, the probability of the second one, directly increases with the percentage of the devaluation.</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b/>
          <w:sz w:val="22"/>
          <w:u w:val="single"/>
        </w:rPr>
      </w:pPr>
      <w:r>
        <w:rPr>
          <w:b/>
          <w:sz w:val="22"/>
          <w:u w:val="single"/>
        </w:rPr>
        <w:t>C. LEGAL ISSUES PROTECTING TGS AGAINST ANY POTENTIAL DEVALUATION:</w:t>
      </w:r>
    </w:p>
    <w:p>
      <w:pPr>
        <w:pStyle w:val="Normal"/>
        <w:jc w:val="both"/>
        <w:rPr>
          <w:b/>
          <w:sz w:val="22"/>
          <w:u w:val="single"/>
        </w:rPr>
      </w:pPr>
      <w:r>
        <w:rPr>
          <w:b/>
          <w:sz w:val="22"/>
          <w:u w:val="single"/>
        </w:rPr>
      </w:r>
    </w:p>
    <w:p>
      <w:pPr>
        <w:pStyle w:val="Normal"/>
        <w:numPr>
          <w:ilvl w:val="0"/>
          <w:numId w:val="4"/>
        </w:numPr>
        <w:rPr>
          <w:b/>
          <w:sz w:val="22"/>
          <w:u w:val="single"/>
        </w:rPr>
      </w:pPr>
      <w:r>
        <w:rPr>
          <w:b/>
          <w:sz w:val="22"/>
          <w:u w:val="single"/>
        </w:rPr>
        <w:t>Bidding conditions: Annex F. Point 7.1. Future adjustment of tariffs.</w:t>
      </w:r>
    </w:p>
    <w:p>
      <w:pPr>
        <w:pStyle w:val="Normal"/>
        <w:jc w:val="both"/>
        <w:rPr>
          <w:b/>
          <w:sz w:val="22"/>
        </w:rPr>
      </w:pPr>
      <w:r>
        <w:rPr>
          <w:sz w:val="22"/>
        </w:rPr>
        <w:t>“</w:t>
      </w:r>
      <w:r>
        <w:rPr>
          <w:sz w:val="22"/>
        </w:rPr>
        <w:t>Tariffs are expressed in Argentinean pesos convertible in accordance with law 23.928 (by means of which the peso has been pegged to the United States Dollar with the relation $1=US$1</w:t>
      </w:r>
    </w:p>
    <w:p>
      <w:pPr>
        <w:pStyle w:val="BodyText"/>
        <w:rPr>
          <w:sz w:val="22"/>
        </w:rPr>
      </w:pPr>
      <w:r>
        <w:rPr>
          <w:sz w:val="22"/>
        </w:rPr>
        <w:t>. These tariffs (excluding the value of gas at the point of entrance to the gas pipes system) shall be immediately and automatically adjusted in case of parity variation.  To that effect, the amount of Argentine currency needed shall be taken into account in order to buy one United States Dollar in the New York market.”.</w:t>
      </w:r>
    </w:p>
    <w:p>
      <w:pPr>
        <w:pStyle w:val="BodyText"/>
        <w:rPr>
          <w:sz w:val="22"/>
          <w:u w:val="single"/>
        </w:rPr>
      </w:pPr>
      <w:r>
        <w:rPr>
          <w:sz w:val="22"/>
          <w:u w:val="single"/>
        </w:rPr>
      </w:r>
    </w:p>
    <w:p>
      <w:pPr>
        <w:pStyle w:val="BodyText"/>
        <w:rPr>
          <w:sz w:val="22"/>
        </w:rPr>
      </w:pPr>
      <w:r>
        <w:rPr>
          <w:sz w:val="22"/>
        </w:rPr>
        <w:t>This means that, in case of parity variation, tariffs must be expressed in the equivalent to Argentine pesos needed to buy United States Dollars in New York, without the need of any prior statement or authorization.</w:t>
      </w:r>
    </w:p>
    <w:p>
      <w:pPr>
        <w:pStyle w:val="BodyText"/>
        <w:rPr>
          <w:sz w:val="22"/>
        </w:rPr>
      </w:pPr>
      <w:r>
        <w:rPr>
          <w:sz w:val="22"/>
        </w:rPr>
      </w:r>
    </w:p>
    <w:p>
      <w:pPr>
        <w:pStyle w:val="BodyText"/>
        <w:numPr>
          <w:ilvl w:val="0"/>
          <w:numId w:val="8"/>
        </w:numPr>
        <w:rPr>
          <w:b/>
          <w:sz w:val="22"/>
          <w:u w:val="single"/>
        </w:rPr>
      </w:pPr>
      <w:r>
        <w:rPr>
          <w:b/>
          <w:sz w:val="22"/>
          <w:u w:val="single"/>
        </w:rPr>
        <w:t>Executive Branch.  Decree 1738/92:</w:t>
      </w:r>
    </w:p>
    <w:p>
      <w:pPr>
        <w:pStyle w:val="BodyText"/>
        <w:rPr/>
      </w:pPr>
      <w:r>
        <w:rPr>
          <w:b/>
          <w:sz w:val="22"/>
        </w:rPr>
        <w:t>Section 41.-</w:t>
      </w:r>
      <w:r>
        <w:rPr>
          <w:sz w:val="22"/>
        </w:rPr>
        <w:t xml:space="preserve">  “In the course of ordinary and periodic adjustments of tariffs authorized by the Enargas, this Body will adjust to the following lineaments:</w:t>
      </w:r>
    </w:p>
    <w:p>
      <w:pPr>
        <w:pStyle w:val="BodyText"/>
        <w:numPr>
          <w:ilvl w:val="0"/>
          <w:numId w:val="11"/>
        </w:numPr>
        <w:rPr>
          <w:sz w:val="22"/>
        </w:rPr>
      </w:pPr>
      <w:r>
        <w:rPr>
          <w:sz w:val="22"/>
        </w:rPr>
        <w:t>Transmission and Distribution tariffs shall be calculated in United States Dollars.  The resultant Tariff Chart shall be expressed in pesos convertible in accordance with law 23.928, taking into account the parity established in Section 3, Decree 2.128/91”.</w:t>
      </w:r>
    </w:p>
    <w:p>
      <w:pPr>
        <w:pStyle w:val="BodyText"/>
        <w:rPr>
          <w:sz w:val="22"/>
        </w:rPr>
      </w:pPr>
      <w:r>
        <w:rPr>
          <w:sz w:val="22"/>
        </w:rPr>
      </w:r>
    </w:p>
    <w:p>
      <w:pPr>
        <w:pStyle w:val="BodyText"/>
        <w:rPr>
          <w:sz w:val="22"/>
        </w:rPr>
      </w:pPr>
      <w:r>
        <w:rPr>
          <w:sz w:val="22"/>
        </w:rPr>
        <w:t>Hence, the Executive Branch that grants the License has instructed the Regulating Body to calculate tariffs in United States Dollars.</w:t>
      </w:r>
    </w:p>
    <w:p>
      <w:pPr>
        <w:pStyle w:val="BodyText"/>
        <w:rPr>
          <w:sz w:val="22"/>
        </w:rPr>
      </w:pPr>
      <w:r>
        <w:rPr>
          <w:sz w:val="22"/>
        </w:rPr>
      </w:r>
    </w:p>
    <w:p>
      <w:pPr>
        <w:pStyle w:val="BodyText"/>
        <w:numPr>
          <w:ilvl w:val="0"/>
          <w:numId w:val="5"/>
        </w:numPr>
        <w:rPr>
          <w:b/>
          <w:sz w:val="22"/>
          <w:u w:val="single"/>
        </w:rPr>
      </w:pPr>
      <w:r>
        <w:rPr>
          <w:b/>
          <w:sz w:val="22"/>
          <w:u w:val="single"/>
        </w:rPr>
        <w:t>Decree 2458/92 (License Basic Rules)</w:t>
      </w:r>
    </w:p>
    <w:p>
      <w:pPr>
        <w:pStyle w:val="BodyText"/>
        <w:rPr>
          <w:sz w:val="22"/>
        </w:rPr>
      </w:pPr>
      <w:r>
        <w:rPr>
          <w:sz w:val="22"/>
        </w:rPr>
        <w:t>““</w:t>
      </w:r>
      <w:r>
        <w:rPr>
          <w:sz w:val="22"/>
        </w:rPr>
        <w:t>Type of exchange”: it is the relation applied to the convertibility of the United States Dollar to the Argentine peso established in Section 3, Decree 2.128/91, in accordance with law 23.928, and its eventual amendments.”</w:t>
      </w:r>
    </w:p>
    <w:p>
      <w:pPr>
        <w:pStyle w:val="BodyText"/>
        <w:rPr>
          <w:sz w:val="22"/>
        </w:rPr>
      </w:pPr>
      <w:r>
        <w:rPr>
          <w:sz w:val="22"/>
        </w:rPr>
      </w:r>
    </w:p>
    <w:p>
      <w:pPr>
        <w:pStyle w:val="BodyText"/>
        <w:rPr>
          <w:sz w:val="22"/>
        </w:rPr>
      </w:pPr>
      <w:r>
        <w:rPr>
          <w:sz w:val="22"/>
        </w:rPr>
        <w:t>This license rule establishes the way in which the tariff established in United States Dollars should be calculated in Argentine pesos.</w:t>
      </w:r>
    </w:p>
    <w:p>
      <w:pPr>
        <w:pStyle w:val="BodyText"/>
        <w:rPr>
          <w:sz w:val="22"/>
        </w:rPr>
      </w:pPr>
      <w:r>
        <w:rPr>
          <w:sz w:val="22"/>
        </w:rPr>
      </w:r>
    </w:p>
    <w:p>
      <w:pPr>
        <w:pStyle w:val="BodyText"/>
        <w:numPr>
          <w:ilvl w:val="0"/>
          <w:numId w:val="5"/>
        </w:numPr>
        <w:rPr>
          <w:b/>
          <w:sz w:val="22"/>
          <w:u w:val="single"/>
        </w:rPr>
      </w:pPr>
      <w:r>
        <w:rPr>
          <w:b/>
          <w:sz w:val="22"/>
          <w:u w:val="single"/>
        </w:rPr>
        <w:t>IX. SERVICE REGULATIONS AND TARIFFS. Point 9.2. Tariff:</w:t>
      </w:r>
    </w:p>
    <w:p>
      <w:pPr>
        <w:pStyle w:val="BodyText"/>
        <w:rPr>
          <w:sz w:val="22"/>
        </w:rPr>
      </w:pPr>
      <w:r>
        <w:rPr>
          <w:sz w:val="22"/>
        </w:rPr>
        <w:t>“</w:t>
      </w:r>
      <w:r>
        <w:rPr>
          <w:sz w:val="22"/>
        </w:rPr>
        <w:t>The tariff has been calculated in United States Dollars.  The adjustments point 9.3 refers to shall be calculated in United States Dollars…</w:t>
      </w:r>
    </w:p>
    <w:p>
      <w:pPr>
        <w:pStyle w:val="BodyText"/>
        <w:rPr>
          <w:sz w:val="22"/>
        </w:rPr>
      </w:pPr>
      <w:r>
        <w:rPr>
          <w:sz w:val="22"/>
        </w:rPr>
        <w:t>The resultant or recalculated Tariff Chart shall be expressed in Argentine pesos ($) at the ratio established in Section 3, Decree 2128/91, in accordance with law 23.928 and its eventual amendments”.</w:t>
      </w:r>
    </w:p>
    <w:p>
      <w:pPr>
        <w:pStyle w:val="BodyText"/>
        <w:rPr>
          <w:sz w:val="22"/>
        </w:rPr>
      </w:pPr>
      <w:r>
        <w:rPr>
          <w:sz w:val="22"/>
        </w:rPr>
      </w:r>
    </w:p>
    <w:p>
      <w:pPr>
        <w:pStyle w:val="BodyText"/>
        <w:rPr>
          <w:sz w:val="22"/>
        </w:rPr>
      </w:pPr>
      <w:r>
        <w:rPr>
          <w:sz w:val="22"/>
        </w:rPr>
        <w:t>Point 9.8. “Non applicability of Price Controls: No fixation, administrations and/or price controls will be applied to the Licensee’s tariff system. If, regardless of this stipulation, the Licensee were forced to adjust to a price control system that established a level lower than that resulting from the Tariff, the Licensee shall have a right to an equivalent compensation payable by the Grantor.”</w:t>
      </w:r>
    </w:p>
    <w:p>
      <w:pPr>
        <w:pStyle w:val="BodyText"/>
        <w:rPr>
          <w:sz w:val="22"/>
        </w:rPr>
      </w:pPr>
      <w:r>
        <w:rPr>
          <w:sz w:val="22"/>
        </w:rPr>
      </w:r>
    </w:p>
    <w:p>
      <w:pPr>
        <w:pStyle w:val="BodyText"/>
        <w:rPr>
          <w:sz w:val="22"/>
        </w:rPr>
      </w:pPr>
      <w:r>
        <w:rPr>
          <w:sz w:val="22"/>
        </w:rPr>
        <w:t>These dispositions, which are also part of the license, reinforce the commitment to calculate the tariffs in US Dollars and do not allow, under any circumstances, for the application of a limit to the higher price in Argentine pesos as an outcome of its relation with the United States Dollar.</w:t>
      </w:r>
    </w:p>
    <w:p>
      <w:pPr>
        <w:pStyle w:val="BodyText"/>
        <w:rPr>
          <w:b/>
          <w:sz w:val="22"/>
        </w:rPr>
      </w:pPr>
      <w:r>
        <w:rPr>
          <w:b/>
          <w:sz w:val="22"/>
        </w:rPr>
      </w:r>
    </w:p>
    <w:p>
      <w:pPr>
        <w:pStyle w:val="BodyText"/>
        <w:rPr>
          <w:b/>
          <w:sz w:val="22"/>
          <w:u w:val="single"/>
        </w:rPr>
      </w:pPr>
      <w:r>
        <w:rPr>
          <w:b/>
          <w:sz w:val="22"/>
          <w:u w:val="single"/>
        </w:rPr>
        <w:t xml:space="preserve">XI. TERMINATION OF THE LICENSE AND ITS JUDICIAL CONSEQUENCES </w:t>
      </w:r>
    </w:p>
    <w:p>
      <w:pPr>
        <w:pStyle w:val="BodyText"/>
        <w:rPr>
          <w:sz w:val="22"/>
        </w:rPr>
      </w:pPr>
      <w:r>
        <w:rPr>
          <w:sz w:val="22"/>
        </w:rPr>
        <w:t>11.3. “Licensee’s rights: Upon termination of the License, the Licensee shall have the following rights:</w:t>
      </w:r>
    </w:p>
    <w:p>
      <w:pPr>
        <w:pStyle w:val="BodyText"/>
        <w:rPr>
          <w:sz w:val="22"/>
        </w:rPr>
      </w:pPr>
      <w:r>
        <w:rPr>
          <w:sz w:val="22"/>
        </w:rPr>
        <w:t>11.3.1. In all cases (except those foreseen in section 11.2., in point 10.7.6 and 11.3.3. subsection (d) of point 11.3.2) the Licensee shall have a right to payment of the smaller of the following amounts by the Grantor: (i) the books value, net of the amortization accrued, of Essential Assets, including historic cost (also net of the amortization accrued) of investments made by the Licensee while the License was in force, to which no objections had been made by the Regulating Authority, stating therefore that, to the effect of this calculation, (a) the books value of initial Essential Assets shall be established based on the Price paid by the Investment Society, and the original cost of the subsequent investments shall be made in United States Dollars as adjusted by the PPI, (b) the amortization shall be calculated on such amounts in United States Dollars using the ordinary rules on useful life, whichever was the historic cost in Argentine currency or the amortization applied with a taxation end and (c) the Regulating Authority shall make the rules to calculate the amounts in United States Dollars and the depreciation mentioned in this point (“Books Value”); (ii) the net proceeds of the New License.”</w:t>
      </w:r>
    </w:p>
    <w:p>
      <w:pPr>
        <w:pStyle w:val="BodyText"/>
        <w:rPr>
          <w:sz w:val="22"/>
        </w:rPr>
      </w:pPr>
      <w:r>
        <w:rPr>
          <w:sz w:val="22"/>
        </w:rPr>
      </w:r>
    </w:p>
    <w:p>
      <w:pPr>
        <w:pStyle w:val="BodyText"/>
        <w:rPr>
          <w:sz w:val="22"/>
        </w:rPr>
      </w:pPr>
      <w:r>
        <w:rPr>
          <w:sz w:val="22"/>
        </w:rPr>
        <w:t>Upon termination of the license, the investor will be repaid either an amount in United States Dollars by the company, under amortization criteria in dollars, or the price that arises from the market due to the new bid.</w:t>
      </w:r>
    </w:p>
    <w:p>
      <w:pPr>
        <w:pStyle w:val="BodyText"/>
        <w:rPr>
          <w:sz w:val="22"/>
        </w:rPr>
      </w:pPr>
      <w:r>
        <w:rPr>
          <w:sz w:val="22"/>
        </w:rPr>
      </w:r>
    </w:p>
    <w:p>
      <w:pPr>
        <w:pStyle w:val="BodyText"/>
        <w:rPr>
          <w:b/>
          <w:sz w:val="22"/>
          <w:u w:val="single"/>
        </w:rPr>
      </w:pPr>
      <w:r>
        <w:rPr>
          <w:b/>
          <w:sz w:val="22"/>
          <w:u w:val="single"/>
        </w:rPr>
        <w:t>Point 27. CONVERSION TO ARGENTINE PESOS</w:t>
      </w:r>
    </w:p>
    <w:p>
      <w:pPr>
        <w:pStyle w:val="BodyText"/>
        <w:rPr/>
      </w:pPr>
      <w:r>
        <w:rPr>
          <w:sz w:val="22"/>
        </w:rPr>
        <w:t>“</w:t>
      </w:r>
      <w:r>
        <w:rPr>
          <w:sz w:val="22"/>
        </w:rPr>
        <w:t>Tariffs have been calculated in United States Dollars.  Tariff Charts are expressed in Argentine pesos at the rate established in Section 3, Decree 2128/91, in accordance</w:t>
      </w:r>
      <w:r>
        <w:rPr>
          <w:sz w:val="22"/>
          <w:u w:val="single"/>
        </w:rPr>
        <w:t xml:space="preserve"> </w:t>
      </w:r>
      <w:r>
        <w:rPr>
          <w:sz w:val="22"/>
        </w:rPr>
        <w:t>with law 23.928”.</w:t>
      </w:r>
    </w:p>
    <w:p>
      <w:pPr>
        <w:pStyle w:val="BodyText"/>
        <w:rPr>
          <w:sz w:val="22"/>
        </w:rPr>
      </w:pPr>
      <w:r>
        <w:rPr>
          <w:sz w:val="22"/>
        </w:rPr>
      </w:r>
    </w:p>
    <w:p>
      <w:pPr>
        <w:pStyle w:val="BodyText"/>
        <w:rPr>
          <w:sz w:val="22"/>
        </w:rPr>
      </w:pPr>
      <w:r>
        <w:rPr>
          <w:sz w:val="22"/>
        </w:rPr>
        <w:t>This implies that even though the tariffs are expressed in Argentine pesos, they are calculated in United States Dollars pegged with the relation 1 = 1 in Argentine pesos.</w:t>
      </w:r>
    </w:p>
    <w:p>
      <w:pPr>
        <w:pStyle w:val="BodyText"/>
        <w:rPr>
          <w:sz w:val="22"/>
        </w:rPr>
      </w:pPr>
      <w:r>
        <w:rPr>
          <w:sz w:val="22"/>
        </w:rPr>
      </w:r>
    </w:p>
    <w:p>
      <w:pPr>
        <w:pStyle w:val="BodyText"/>
        <w:numPr>
          <w:ilvl w:val="0"/>
          <w:numId w:val="5"/>
        </w:numPr>
        <w:rPr>
          <w:b/>
          <w:sz w:val="22"/>
          <w:u w:val="single"/>
        </w:rPr>
      </w:pPr>
      <w:r>
        <w:rPr>
          <w:b/>
          <w:sz w:val="22"/>
          <w:u w:val="single"/>
        </w:rPr>
        <w:t>Annex III of Decree 2458/92:</w:t>
      </w:r>
    </w:p>
    <w:p>
      <w:pPr>
        <w:pStyle w:val="BodyText"/>
        <w:rPr>
          <w:sz w:val="22"/>
        </w:rPr>
      </w:pPr>
      <w:r>
        <w:rPr>
          <w:sz w:val="22"/>
        </w:rPr>
        <w:t>“</w:t>
      </w:r>
      <w:r>
        <w:rPr>
          <w:sz w:val="22"/>
        </w:rPr>
        <w:t>Tariffs are expressed in Argentine pesos convertible in accordance with law 23.928.”</w:t>
      </w:r>
    </w:p>
    <w:p>
      <w:pPr>
        <w:pStyle w:val="BodyText"/>
        <w:rPr>
          <w:sz w:val="22"/>
        </w:rPr>
      </w:pPr>
      <w:r>
        <w:rPr>
          <w:sz w:val="22"/>
        </w:rPr>
      </w:r>
    </w:p>
    <w:p>
      <w:pPr>
        <w:pStyle w:val="BodyText"/>
        <w:rPr>
          <w:sz w:val="22"/>
        </w:rPr>
      </w:pPr>
      <w:r>
        <w:rPr>
          <w:sz w:val="22"/>
        </w:rPr>
        <w:t>In the decree by means of which the state granted the transmission license to TGS, the commitment of the international bidding conditions was reasserted, which means that tariffs shall be calculated in United States Dollars.</w:t>
      </w:r>
    </w:p>
    <w:p>
      <w:pPr>
        <w:pStyle w:val="BodyText"/>
        <w:rPr>
          <w:sz w:val="22"/>
        </w:rPr>
      </w:pPr>
      <w:r>
        <w:rPr>
          <w:sz w:val="22"/>
        </w:rPr>
      </w:r>
    </w:p>
    <w:p>
      <w:pPr>
        <w:pStyle w:val="BodyText"/>
        <w:numPr>
          <w:ilvl w:val="0"/>
          <w:numId w:val="5"/>
        </w:numPr>
        <w:rPr>
          <w:b/>
          <w:sz w:val="22"/>
          <w:u w:val="single"/>
        </w:rPr>
      </w:pPr>
      <w:r>
        <w:rPr>
          <w:b/>
          <w:sz w:val="22"/>
          <w:u w:val="single"/>
        </w:rPr>
        <w:t>DECREE 2128/91:</w:t>
      </w:r>
    </w:p>
    <w:p>
      <w:pPr>
        <w:pStyle w:val="BodyText"/>
        <w:rPr>
          <w:sz w:val="22"/>
        </w:rPr>
      </w:pPr>
      <w:r>
        <w:rPr>
          <w:sz w:val="22"/>
        </w:rPr>
        <w:t>Section 3 – “The Argentine Peso shall be pegged to the United States Dollar with the relation $1=US$1, for sale, under the conditions established by law 23.928.”</w:t>
      </w:r>
    </w:p>
    <w:p>
      <w:pPr>
        <w:pStyle w:val="BodyText"/>
        <w:rPr>
          <w:sz w:val="22"/>
        </w:rPr>
      </w:pPr>
      <w:r>
        <w:rPr>
          <w:sz w:val="22"/>
        </w:rPr>
      </w:r>
    </w:p>
    <w:p>
      <w:pPr>
        <w:pStyle w:val="BodyText"/>
        <w:rPr>
          <w:sz w:val="22"/>
        </w:rPr>
      </w:pPr>
      <w:r>
        <w:rPr>
          <w:sz w:val="22"/>
        </w:rPr>
        <w:t>This means that the Argentine State has committed to selling each dollar for one peso, at any time, upon request.</w:t>
      </w:r>
    </w:p>
    <w:p>
      <w:pPr>
        <w:pStyle w:val="BodyText"/>
        <w:rPr>
          <w:sz w:val="22"/>
        </w:rPr>
      </w:pPr>
      <w:r>
        <w:rPr>
          <w:sz w:val="22"/>
        </w:rPr>
      </w:r>
    </w:p>
    <w:p>
      <w:pPr>
        <w:pStyle w:val="BodyText"/>
        <w:numPr>
          <w:ilvl w:val="0"/>
          <w:numId w:val="5"/>
        </w:numPr>
        <w:rPr>
          <w:b/>
          <w:sz w:val="22"/>
          <w:u w:val="single"/>
        </w:rPr>
      </w:pPr>
      <w:r>
        <w:rPr>
          <w:b/>
          <w:sz w:val="22"/>
          <w:u w:val="single"/>
        </w:rPr>
        <w:t>Law 23.928. Convertibility of the Austral</w:t>
      </w:r>
    </w:p>
    <w:p>
      <w:pPr>
        <w:pStyle w:val="BodyText"/>
        <w:rPr>
          <w:sz w:val="22"/>
        </w:rPr>
      </w:pPr>
      <w:r>
        <w:rPr>
          <w:sz w:val="22"/>
        </w:rPr>
        <w:t>“</w:t>
      </w:r>
      <w:r>
        <w:rPr>
          <w:sz w:val="22"/>
        </w:rPr>
        <w:t>Title 1: Convertibility of the austral</w:t>
      </w:r>
    </w:p>
    <w:p>
      <w:pPr>
        <w:pStyle w:val="BodyText"/>
        <w:rPr>
          <w:sz w:val="22"/>
        </w:rPr>
      </w:pPr>
      <w:r>
        <w:rPr>
          <w:sz w:val="22"/>
        </w:rPr>
        <w:t>1. Convertibility of the austral to the United States Dollar shall be declared as from April 1, 1991, with the relation 10.000 australes = US$1, for sale, under the conditions established by law 23.928.”</w:t>
      </w:r>
    </w:p>
    <w:p>
      <w:pPr>
        <w:pStyle w:val="BodyText"/>
        <w:rPr>
          <w:sz w:val="22"/>
        </w:rPr>
      </w:pPr>
      <w:r>
        <w:rPr>
          <w:sz w:val="22"/>
        </w:rPr>
      </w:r>
    </w:p>
    <w:p>
      <w:pPr>
        <w:pStyle w:val="BodyText"/>
        <w:rPr>
          <w:sz w:val="22"/>
        </w:rPr>
      </w:pPr>
      <w:r>
        <w:rPr>
          <w:sz w:val="22"/>
        </w:rPr>
        <w:t>This law supports 1=1 convertibility of the dollar.  It refers to the previous denomination of the Argentine currency (the Austral), which was replaced by the Peso, at a convertible A 1.000 = $1 relation.  (at present, the Austral is no longer in circulation)</w:t>
      </w:r>
    </w:p>
    <w:p>
      <w:pPr>
        <w:pStyle w:val="BodyText"/>
        <w:rPr>
          <w:sz w:val="22"/>
        </w:rPr>
      </w:pPr>
      <w:r>
        <w:rPr>
          <w:sz w:val="22"/>
        </w:rPr>
      </w:r>
    </w:p>
    <w:p>
      <w:pPr>
        <w:pStyle w:val="BodyText"/>
        <w:rPr>
          <w:sz w:val="22"/>
        </w:rPr>
      </w:pPr>
      <w:r>
        <w:rPr>
          <w:sz w:val="22"/>
        </w:rPr>
        <w:t>“</w:t>
      </w:r>
      <w:r>
        <w:rPr>
          <w:sz w:val="22"/>
        </w:rPr>
        <w:t>Title 2: Circulation of convertible austral</w:t>
      </w:r>
    </w:p>
    <w:p>
      <w:pPr>
        <w:pStyle w:val="BodyText"/>
        <w:rPr>
          <w:sz w:val="22"/>
        </w:rPr>
      </w:pPr>
      <w:r>
        <w:rPr>
          <w:sz w:val="22"/>
        </w:rPr>
        <w:t>11. Sections 617, 619 and 623 of the Civil Code were amended, and remain as follows:</w:t>
      </w:r>
    </w:p>
    <w:p>
      <w:pPr>
        <w:pStyle w:val="BodyText"/>
        <w:rPr>
          <w:sz w:val="22"/>
        </w:rPr>
      </w:pPr>
      <w:r>
        <w:rPr>
          <w:sz w:val="22"/>
        </w:rPr>
        <w:t>617. If, as a result of the act giving origin to the obligation, it had been stipulated to give currency that is not lawfully tendered in the Republic, then, the obligation must be considered as an obligation of giving sums of money.</w:t>
      </w:r>
    </w:p>
    <w:p>
      <w:pPr>
        <w:pStyle w:val="BodyText"/>
        <w:rPr>
          <w:sz w:val="22"/>
        </w:rPr>
      </w:pPr>
      <w:r>
        <w:rPr>
          <w:sz w:val="22"/>
        </w:rPr>
      </w:r>
    </w:p>
    <w:p>
      <w:pPr>
        <w:pStyle w:val="BodyText"/>
        <w:rPr>
          <w:sz w:val="22"/>
        </w:rPr>
      </w:pPr>
      <w:r>
        <w:rPr>
          <w:sz w:val="22"/>
        </w:rPr>
        <w:t>12. Given the different judicial system applied to the austral before and after its convertibility, it shall be considered, to all effects, a new currency.  In order to make such differentiation easier, the Executive Branch shall be empowered to replace in the future the denomination and numeric expression of the austral, as long as it respects the conversion relation emerging from section 1.”</w:t>
      </w:r>
    </w:p>
    <w:p>
      <w:pPr>
        <w:pStyle w:val="BodyText"/>
        <w:rPr>
          <w:sz w:val="22"/>
        </w:rPr>
      </w:pPr>
      <w:r>
        <w:rPr>
          <w:sz w:val="22"/>
        </w:rPr>
      </w:r>
    </w:p>
    <w:p>
      <w:pPr>
        <w:pStyle w:val="BodyText"/>
        <w:rPr>
          <w:sz w:val="22"/>
        </w:rPr>
      </w:pPr>
      <w:r>
        <w:rPr>
          <w:sz w:val="22"/>
        </w:rPr>
        <w:t>This means that, as said by the Supreme Court of the Province of Buenos Aires, any debt expressed in United States Dollars shall only be paid in that currency.  Given the meaning taken by the precedent, these kinds of suits have not been appealed to the National Supreme Court.</w:t>
      </w:r>
    </w:p>
    <w:p>
      <w:pPr>
        <w:pStyle w:val="Normal"/>
        <w:rPr>
          <w:sz w:val="22"/>
          <w:lang w:val="es-ES_tradnl"/>
        </w:rPr>
      </w:pPr>
      <w:r>
        <w:rPr>
          <w:sz w:val="22"/>
          <w:lang w:val="es-ES_tradnl"/>
        </w:rPr>
      </w:r>
    </w:p>
    <w:sectPr>
      <w:footerReference w:type="default" r:id="rId12"/>
      <w:type w:val="nextPage"/>
      <w:pgSz w:w="11906"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s-ES"/>
      </w:rPr>
    </w:pPr>
    <w:r>
      <w:rPr>
        <w:lang w:eastAsia="es-ES"/>
      </w:rPr>
      <w:fldChar w:fldCharType="begin"/>
    </w:r>
    <w:r>
      <w:rPr>
        <w:lang w:eastAsia="es-ES"/>
      </w:rPr>
      <w:instrText xml:space="preserve"> FILENAME \p </w:instrText>
    </w:r>
    <w:r>
      <w:rPr>
        <w:lang w:eastAsia="es-ES"/>
      </w:rPr>
      <w:fldChar w:fldCharType="separate"/>
    </w:r>
    <w:r>
      <w:rPr>
        <w:lang w:eastAsia="es-ES"/>
      </w:rPr>
      <w:t>/mnt/main-storage/datasets/enron-docs/doc/Convertibility_Analysis_for_KL.doc</w:t>
    </w:r>
    <w:r>
      <w:rPr>
        <w:lang w:eastAsia="es-E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b/>
      </w:rPr>
    </w:lvl>
  </w:abstractNum>
  <w:abstractNum w:abstractNumId="5">
    <w:lvl w:ilvl="0">
      <w:start w:val="3"/>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b/>
      </w:rPr>
    </w:lvl>
  </w:abstractNum>
  <w:abstractNum w:abstractNumId="8">
    <w:lvl w:ilvl="0">
      <w:start w:val="2"/>
      <w:numFmt w:val="decimal"/>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4"/>
      <w:lang w:val="es-AR"/>
    </w:rPr>
  </w:style>
  <w:style w:type="paragraph" w:styleId="Heading2">
    <w:name w:val="heading 2"/>
    <w:basedOn w:val="Normal"/>
    <w:next w:val="Normal"/>
    <w:qFormat/>
    <w:pPr>
      <w:keepNext w:val="true"/>
      <w:numPr>
        <w:ilvl w:val="1"/>
        <w:numId w:val="1"/>
      </w:numPr>
      <w:pBdr>
        <w:top w:val="single" w:sz="4" w:space="1" w:color="000000"/>
      </w:pBdr>
      <w:jc w:val="center"/>
      <w:outlineLvl w:val="1"/>
    </w:pPr>
    <w:rPr>
      <w:rFonts w:ascii="Arial" w:hAnsi="Arial" w:cs="Arial"/>
      <w:b/>
      <w:sz w:val="24"/>
      <w:lang w:val="es-AR"/>
    </w:rPr>
  </w:style>
  <w:style w:type="paragraph" w:styleId="Heading3">
    <w:name w:val="heading 3"/>
    <w:basedOn w:val="Normal"/>
    <w:next w:val="Normal"/>
    <w:qFormat/>
    <w:pPr>
      <w:keepNext w:val="true"/>
      <w:numPr>
        <w:ilvl w:val="2"/>
        <w:numId w:val="1"/>
      </w:numPr>
      <w:jc w:val="center"/>
      <w:outlineLvl w:val="2"/>
    </w:pPr>
    <w:rPr>
      <w:rFonts w:ascii="Arial" w:hAnsi="Arial" w:cs="Arial"/>
      <w:b/>
      <w:sz w:val="24"/>
      <w:lang w:val="es-AR"/>
    </w:rPr>
  </w:style>
  <w:style w:type="paragraph" w:styleId="Heading4">
    <w:name w:val="heading 4"/>
    <w:basedOn w:val="Normal"/>
    <w:next w:val="Normal"/>
    <w:qFormat/>
    <w:pPr>
      <w:keepNext w:val="true"/>
      <w:numPr>
        <w:ilvl w:val="3"/>
        <w:numId w:val="1"/>
      </w:numPr>
      <w:outlineLvl w:val="3"/>
    </w:pPr>
    <w:rPr>
      <w:rFonts w:ascii="Arial" w:hAnsi="Arial" w:cs="Arial"/>
      <w:sz w:val="24"/>
      <w:lang w:val="es-AR"/>
    </w:rPr>
  </w:style>
  <w:style w:type="paragraph" w:styleId="Heading5">
    <w:name w:val="heading 5"/>
    <w:basedOn w:val="Normal"/>
    <w:next w:val="Normal"/>
    <w:qFormat/>
    <w:pPr>
      <w:keepNext w:val="true"/>
      <w:numPr>
        <w:ilvl w:val="4"/>
        <w:numId w:val="1"/>
      </w:numPr>
      <w:jc w:val="both"/>
      <w:outlineLvl w:val="4"/>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b/>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3">
    <w:name w:val="OmniPage #3"/>
    <w:basedOn w:val="Normal"/>
    <w:qFormat/>
    <w:pPr>
      <w:spacing w:lineRule="exact" w:line="480"/>
    </w:pPr>
    <w:rPr>
      <w:lang w:val="en-CA"/>
    </w:rPr>
  </w:style>
  <w:style w:type="paragraph" w:styleId="OmniPage4">
    <w:name w:val="OmniPage #4"/>
    <w:basedOn w:val="Normal"/>
    <w:qFormat/>
    <w:pPr>
      <w:spacing w:lineRule="exact" w:line="200"/>
    </w:pPr>
    <w:rPr>
      <w:lang w:val="en-CA"/>
    </w:rPr>
  </w:style>
  <w:style w:type="paragraph" w:styleId="BodyTextIndent">
    <w:name w:val="Body Text Indent"/>
    <w:basedOn w:val="Normal"/>
    <w:pPr>
      <w:ind w:firstLine="708" w:start="0" w:end="0"/>
      <w:jc w:val="both"/>
    </w:pPr>
    <w:rPr>
      <w:rFonts w:ascii="Arial" w:hAnsi="Arial" w:cs="Arial"/>
      <w:color w:val="0000FF"/>
      <w:sz w:val="24"/>
      <w:lang w:val="es-AR"/>
    </w:rPr>
  </w:style>
  <w:style w:type="paragraph" w:styleId="OmniPage8">
    <w:name w:val="OmniPage #8"/>
    <w:basedOn w:val="Normal"/>
    <w:qFormat/>
    <w:pPr>
      <w:spacing w:lineRule="exact" w:line="220"/>
    </w:pPr>
    <w:rPr>
      <w:lang w:val="en-CA"/>
    </w:rPr>
  </w:style>
  <w:style w:type="paragraph" w:styleId="BodyText2">
    <w:name w:val="Body Text 2"/>
    <w:basedOn w:val="Normal"/>
    <w:qFormat/>
    <w:pPr>
      <w:jc w:val="both"/>
    </w:pPr>
    <w:rPr>
      <w:rFonts w:ascii="Arial" w:hAnsi="Arial" w:cs="Arial"/>
      <w:lang w:val="es-AR"/>
    </w:rPr>
  </w:style>
  <w:style w:type="paragraph" w:styleId="BodyText3">
    <w:name w:val="Body Text 3"/>
    <w:basedOn w:val="Normal"/>
    <w:qFormat/>
    <w:pPr>
      <w:jc w:val="both"/>
    </w:pPr>
    <w:rPr>
      <w:rFonts w:ascii="Arial" w:hAnsi="Arial" w:cs="Arial"/>
      <w:color w:val="0000FF"/>
      <w:sz w:val="22"/>
      <w:lang w:val="es-ES_tradnl"/>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BodyTextIndent2">
    <w:name w:val="Body Text Indent 2"/>
    <w:basedOn w:val="Normal"/>
    <w:qFormat/>
    <w:pPr>
      <w:ind w:hanging="0" w:start="705" w:end="0"/>
      <w:jc w:val="both"/>
    </w:pPr>
    <w:rPr>
      <w:rFonts w:ascii="Arial" w:hAnsi="Arial" w:cs="Arial"/>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package" Target="embeddings/oleObject1.xlsx"/><Relationship Id="rId7" Type="http://schemas.openxmlformats.org/officeDocument/2006/relationships/image" Target="media/image3.wmf"/><Relationship Id="rId8" Type="http://schemas.openxmlformats.org/officeDocument/2006/relationships/package" Target="embeddings/oleObject2.xlsx"/><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4.wmf"/><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2000-11-20T18:06:00Z</dcterms:created>
  <dc:creator>Diego Pablo Giacomini</dc:creator>
  <dc:description/>
  <dc:language>en-CA</dc:language>
  <cp:lastModifiedBy>Enron Technology</cp:lastModifiedBy>
  <cp:lastPrinted>2000-11-20T17:09:00Z</cp:lastPrinted>
  <dcterms:modified xsi:type="dcterms:W3CDTF">2000-11-20T20:40:00Z</dcterms:modified>
  <cp:revision>3</cp:revision>
  <dc:subject/>
  <dc:title>ARGENTINA AND THE DEVALUATION RISK</dc:title>
</cp:coreProperties>
</file>