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Times New Roman" w:hAnsi="Times New Roman" w:cs="Times New Roman"/>
          <w:caps/>
          <w:sz w:val="24"/>
          <w:u w:val="single"/>
        </w:rPr>
      </w:pPr>
      <w:r>
        <w:rPr>
          <w:rFonts w:cs="Times New Roman" w:ascii="Times New Roman" w:hAnsi="Times New Roman"/>
          <w:caps/>
          <w:sz w:val="24"/>
          <w:u w:val="single"/>
        </w:rPr>
        <w:t>Enron Metals CONTROL STATUS : MINUTES OF Meeting</w:t>
      </w:r>
    </w:p>
    <w:p>
      <w:pPr>
        <w:pStyle w:val="Normal"/>
        <w:spacing w:lineRule="atLeast" w:line="240"/>
        <w:rPr>
          <w:rFonts w:ascii="Times New Roman" w:hAnsi="Times New Roman" w:cs="Times New Roman"/>
          <w:caps/>
          <w:color w:val="000000"/>
          <w:sz w:val="24"/>
          <w:u w:val="single"/>
          <w:lang w:val="en-AU" w:eastAsia="en-US"/>
        </w:rPr>
      </w:pPr>
      <w:r>
        <w:rPr>
          <w:rFonts w:cs="Times New Roman"/>
          <w:caps/>
          <w:color w:val="000000"/>
          <w:sz w:val="24"/>
          <w:u w:val="single"/>
          <w:lang w:val="en-AU" w:eastAsia="en-US"/>
        </w:rPr>
      </w:r>
    </w:p>
    <w:p>
      <w:pPr>
        <w:pStyle w:val="Normal"/>
        <w:spacing w:lineRule="atLeast" w:line="240"/>
        <w:jc w:val="center"/>
        <w:rPr/>
      </w:pPr>
      <w:r>
        <w:rPr>
          <w:color w:val="000000"/>
          <w:sz w:val="24"/>
          <w:lang w:val="en-AU" w:eastAsia="en-US"/>
        </w:rPr>
        <w:t>Tuesday 31</w:t>
      </w:r>
      <w:r>
        <w:rPr>
          <w:color w:val="000000"/>
          <w:sz w:val="24"/>
          <w:vertAlign w:val="superscript"/>
          <w:lang w:val="en-AU" w:eastAsia="en-US"/>
        </w:rPr>
        <w:t>st</w:t>
      </w:r>
      <w:r>
        <w:rPr>
          <w:color w:val="000000"/>
          <w:sz w:val="24"/>
          <w:lang w:val="en-AU" w:eastAsia="en-US"/>
        </w:rPr>
        <w:t xml:space="preserve"> October 11 a.m. (NW2003)</w:t>
      </w:r>
    </w:p>
    <w:p>
      <w:pPr>
        <w:pStyle w:val="Normal"/>
        <w:spacing w:lineRule="atLeast" w:line="240"/>
        <w:rPr>
          <w:color w:val="000000"/>
          <w:sz w:val="24"/>
          <w:lang w:val="en-AU" w:eastAsia="en-US"/>
        </w:rPr>
      </w:pPr>
      <w:r>
        <w:rPr>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Present:</w:t>
      </w:r>
    </w:p>
    <w:p>
      <w:pPr>
        <w:pStyle w:val="Normal"/>
        <w:spacing w:lineRule="atLeast" w:line="240"/>
        <w:rPr>
          <w:b/>
          <w:color w:val="000000"/>
          <w:sz w:val="24"/>
          <w:u w:val="single"/>
          <w:lang w:val="en-AU" w:eastAsia="en-US"/>
        </w:rPr>
      </w:pPr>
      <w:r>
        <w:rPr>
          <w:b/>
          <w:color w:val="000000"/>
          <w:sz w:val="24"/>
          <w:u w:val="single"/>
          <w:lang w:val="en-AU" w:eastAsia="en-US"/>
        </w:rPr>
      </w:r>
    </w:p>
    <w:p>
      <w:pPr>
        <w:pStyle w:val="Normal"/>
        <w:spacing w:lineRule="atLeast" w:line="240"/>
        <w:rPr>
          <w:color w:val="000000"/>
          <w:sz w:val="24"/>
          <w:lang w:val="en-AU" w:eastAsia="en-US"/>
        </w:rPr>
      </w:pPr>
      <w:r>
        <w:rPr>
          <w:color w:val="000000"/>
          <w:sz w:val="24"/>
          <w:lang w:val="en-AU" w:eastAsia="en-US"/>
        </w:rPr>
        <w:t>Mike Hutchinson</w:t>
        <w:tab/>
        <w:t>Mike Farmer</w:t>
        <w:tab/>
        <w:tab/>
        <w:t>David Tregar</w:t>
        <w:tab/>
        <w:tab/>
        <w:t>Ed Dablin</w:t>
      </w:r>
    </w:p>
    <w:p>
      <w:pPr>
        <w:pStyle w:val="Normal"/>
        <w:spacing w:lineRule="atLeast" w:line="240"/>
        <w:rPr>
          <w:color w:val="000000"/>
          <w:sz w:val="24"/>
          <w:lang w:val="en-AU" w:eastAsia="en-US"/>
        </w:rPr>
      </w:pPr>
      <w:r>
        <w:rPr>
          <w:color w:val="000000"/>
          <w:sz w:val="24"/>
          <w:lang w:val="en-AU" w:eastAsia="en-US"/>
        </w:rPr>
        <w:t>Fernley Dyson</w:t>
        <w:tab/>
        <w:tab/>
        <w:t>Mike Jordan</w:t>
        <w:tab/>
        <w:tab/>
        <w:t>Tim P-P</w:t>
        <w:tab/>
        <w:tab/>
        <w:t>Kevin Rhodes</w:t>
      </w:r>
    </w:p>
    <w:p>
      <w:pPr>
        <w:pStyle w:val="Heading3"/>
        <w:ind w:hanging="0" w:start="0"/>
        <w:rPr/>
      </w:pPr>
      <w:r>
        <w:rPr/>
        <w:t>Howard Carter</w:t>
        <w:tab/>
        <w:tab/>
        <w:t>Andy Cornfield</w:t>
        <w:tab/>
        <w:t>Rob Soeldner</w:t>
      </w:r>
    </w:p>
    <w:p>
      <w:pPr>
        <w:pStyle w:val="Normal"/>
        <w:spacing w:lineRule="atLeast" w:line="240"/>
        <w:rPr>
          <w:color w:val="000000"/>
          <w:sz w:val="24"/>
          <w:lang w:val="en-AU" w:eastAsia="en-US"/>
        </w:rPr>
      </w:pPr>
      <w:r>
        <w:rPr>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Apologies:</w:t>
      </w:r>
    </w:p>
    <w:p>
      <w:pPr>
        <w:pStyle w:val="Normal"/>
        <w:spacing w:lineRule="atLeast" w:line="240"/>
        <w:rPr>
          <w:b/>
          <w:color w:val="000000"/>
          <w:sz w:val="24"/>
          <w:lang w:val="en-AU" w:eastAsia="en-US"/>
        </w:rPr>
      </w:pPr>
      <w:r>
        <w:rPr>
          <w:b/>
          <w:color w:val="000000"/>
          <w:sz w:val="24"/>
          <w:lang w:val="en-AU" w:eastAsia="en-US"/>
        </w:rPr>
      </w:r>
    </w:p>
    <w:p>
      <w:pPr>
        <w:pStyle w:val="Heading3"/>
        <w:ind w:hanging="0" w:start="0"/>
        <w:rPr>
          <w:color w:val="FF0000"/>
        </w:rPr>
      </w:pPr>
      <w:r>
        <w:rPr/>
        <w:t>Tom McKeever</w:t>
        <w:tab/>
        <w:t>Paul Chivers</w:t>
      </w:r>
    </w:p>
    <w:p>
      <w:pPr>
        <w:pStyle w:val="Normal"/>
        <w:spacing w:lineRule="atLeast" w:line="240"/>
        <w:rPr>
          <w:b/>
          <w:color w:val="000000"/>
          <w:sz w:val="24"/>
          <w:lang w:val="en-AU" w:eastAsia="en-US"/>
        </w:rPr>
      </w:pPr>
      <w:r>
        <w:rPr>
          <w:b/>
          <w:color w:val="000000"/>
          <w:sz w:val="24"/>
          <w:lang w:val="en-AU" w:eastAsia="en-US"/>
        </w:rPr>
      </w:r>
    </w:p>
    <w:p>
      <w:pPr>
        <w:pStyle w:val="Heading3"/>
        <w:numPr>
          <w:ilvl w:val="0"/>
          <w:numId w:val="3"/>
        </w:numPr>
        <w:rPr>
          <w:b/>
        </w:rPr>
      </w:pPr>
      <w:r>
        <w:rPr>
          <w:b/>
        </w:rPr>
        <w:t>Control Status</w:t>
      </w:r>
    </w:p>
    <w:p>
      <w:pPr>
        <w:pStyle w:val="Heading3"/>
        <w:ind w:hanging="0" w:start="0"/>
        <w:rPr>
          <w:b/>
        </w:rPr>
      </w:pPr>
      <w:r>
        <w:rPr>
          <w:b/>
        </w:rPr>
      </w:r>
    </w:p>
    <w:p>
      <w:pPr>
        <w:pStyle w:val="Heading3"/>
        <w:ind w:hanging="0" w:start="0"/>
        <w:rPr/>
      </w:pPr>
      <w:r>
        <w:rPr/>
        <w:t xml:space="preserve">MJ introduced the </w:t>
      </w:r>
      <w:r>
        <w:rPr>
          <w:b/>
          <w:i/>
        </w:rPr>
        <w:t>Operational Risk Assessment</w:t>
      </w:r>
      <w:r>
        <w:rPr>
          <w:b/>
        </w:rPr>
        <w:t xml:space="preserve"> </w:t>
      </w:r>
      <w:r>
        <w:rPr/>
        <w:t xml:space="preserve">document explaining that it was the product of a brainstorming by MJ, HC, KR, AC and TPP reinforced with examples of “control failures” over the last six weeks since moving into Enron House. MJ went on to explain that it was important to identify </w:t>
      </w:r>
      <w:r>
        <w:rPr>
          <w:b/>
          <w:i/>
        </w:rPr>
        <w:t>themes</w:t>
      </w:r>
      <w:r>
        <w:rPr/>
        <w:t xml:space="preserve"> and </w:t>
      </w:r>
      <w:r>
        <w:rPr>
          <w:b/>
          <w:i/>
        </w:rPr>
        <w:t>actions</w:t>
      </w:r>
      <w:r>
        <w:rPr/>
        <w:t xml:space="preserve"> required to develop a stable and efficient operational platform over the medium term – careful </w:t>
      </w:r>
      <w:r>
        <w:rPr>
          <w:b/>
          <w:i/>
        </w:rPr>
        <w:t>planning</w:t>
      </w:r>
      <w:r>
        <w:rPr/>
        <w:t xml:space="preserve"> was required to help us towards this objective featuring careful </w:t>
      </w:r>
      <w:r>
        <w:rPr>
          <w:b/>
          <w:i/>
        </w:rPr>
        <w:t>resource allocation</w:t>
      </w:r>
      <w:r>
        <w:rPr/>
        <w:t xml:space="preserve"> in the short term.</w:t>
      </w:r>
    </w:p>
    <w:p>
      <w:pPr>
        <w:pStyle w:val="Heading3"/>
        <w:ind w:hanging="0" w:start="0"/>
        <w:rPr/>
      </w:pPr>
      <w:r>
        <w:rPr/>
      </w:r>
    </w:p>
    <w:p>
      <w:pPr>
        <w:pStyle w:val="Heading3"/>
        <w:numPr>
          <w:ilvl w:val="0"/>
          <w:numId w:val="7"/>
        </w:numPr>
        <w:rPr/>
      </w:pPr>
      <w:r>
        <w:rPr/>
        <w:t xml:space="preserve">KR spoke about the difficulties experienced within the </w:t>
      </w:r>
      <w:r>
        <w:rPr>
          <w:b/>
          <w:i/>
        </w:rPr>
        <w:t>Settlements/Cash Management</w:t>
      </w:r>
      <w:r>
        <w:rPr/>
        <w:t xml:space="preserve"> area that touched on the following themes; Key Person Dependency, Inflexible Infrastructure, Control Sensitive Platform and Enron Understanding of the Business.</w:t>
      </w:r>
    </w:p>
    <w:p>
      <w:pPr>
        <w:pStyle w:val="Heading3"/>
        <w:ind w:hanging="0" w:start="0"/>
        <w:rPr>
          <w:color w:val="auto"/>
        </w:rPr>
      </w:pPr>
      <w:r>
        <w:rPr>
          <w:color w:val="auto"/>
        </w:rPr>
      </w:r>
    </w:p>
    <w:p>
      <w:pPr>
        <w:pStyle w:val="Heading3"/>
        <w:numPr>
          <w:ilvl w:val="0"/>
          <w:numId w:val="4"/>
        </w:numPr>
        <w:rPr>
          <w:color w:val="auto"/>
        </w:rPr>
      </w:pPr>
      <w:r>
        <w:rPr>
          <w:color w:val="auto"/>
        </w:rPr>
        <w:t xml:space="preserve">HC spoke about the difficulties around inventory management and the significant operational issues posed by the </w:t>
      </w:r>
      <w:r>
        <w:rPr>
          <w:b/>
          <w:i/>
          <w:color w:val="auto"/>
        </w:rPr>
        <w:t>off-balance sheet financing</w:t>
      </w:r>
      <w:r>
        <w:rPr>
          <w:color w:val="auto"/>
        </w:rPr>
        <w:t xml:space="preserve"> due to be implemented this month. MH suggested</w:t>
      </w:r>
      <w:r>
        <w:rPr/>
        <w:t xml:space="preserve"> that the business could help ease operational pressures by amending contracts to provide for 48 hours notice of delivery/movements (as already happens for Ali). </w:t>
      </w:r>
      <w:r>
        <w:rPr>
          <w:color w:val="FF0000"/>
        </w:rPr>
        <w:t>Action</w:t>
      </w:r>
      <w:r>
        <w:rPr>
          <w:color w:val="auto"/>
        </w:rPr>
        <w:t xml:space="preserve"> </w:t>
      </w:r>
      <w:r>
        <w:rPr>
          <w:color w:val="FF0000"/>
        </w:rPr>
        <w:t>: HC to investigate making 48-hour notification standard.</w:t>
      </w:r>
    </w:p>
    <w:p>
      <w:pPr>
        <w:pStyle w:val="Heading3"/>
        <w:ind w:hanging="0" w:start="0"/>
        <w:rPr>
          <w:color w:val="auto"/>
        </w:rPr>
      </w:pPr>
      <w:r>
        <w:rPr>
          <w:color w:val="auto"/>
        </w:rPr>
      </w:r>
    </w:p>
    <w:p>
      <w:pPr>
        <w:pStyle w:val="Heading3"/>
        <w:numPr>
          <w:ilvl w:val="0"/>
          <w:numId w:val="6"/>
        </w:numPr>
        <w:rPr/>
      </w:pPr>
      <w:r>
        <w:rPr/>
        <w:t xml:space="preserve">AC spoke about the </w:t>
      </w:r>
      <w:r>
        <w:rPr>
          <w:b/>
          <w:i/>
        </w:rPr>
        <w:t>increased “reporting”</w:t>
      </w:r>
      <w:r>
        <w:rPr/>
        <w:t xml:space="preserve"> and senior management information requirements as a result of integrating the Metals businesses within Enron. AC also gave some insight into his plans to develop </w:t>
      </w:r>
      <w:r>
        <w:rPr>
          <w:b/>
          <w:i/>
        </w:rPr>
        <w:t>analytic tools to explain the daily P&amp;L</w:t>
      </w:r>
      <w:r>
        <w:rPr/>
        <w:t>.</w:t>
      </w:r>
    </w:p>
    <w:p>
      <w:pPr>
        <w:pStyle w:val="Normal"/>
        <w:rPr/>
      </w:pPr>
      <w:r>
        <w:rPr/>
      </w:r>
    </w:p>
    <w:p>
      <w:pPr>
        <w:pStyle w:val="Heading3"/>
        <w:ind w:hanging="0" w:start="0"/>
        <w:rPr/>
      </w:pPr>
      <w:r>
        <w:rPr/>
        <w:t>MH alluded to the LME letter entitled “Compliance Failures”, and offered Commercial support to ensure “zero tolerance” of further compliance failures.</w:t>
      </w:r>
    </w:p>
    <w:p>
      <w:pPr>
        <w:pStyle w:val="Normal"/>
        <w:rPr/>
      </w:pPr>
      <w:r>
        <w:rPr/>
      </w:r>
    </w:p>
    <w:p>
      <w:pPr>
        <w:pStyle w:val="Normal"/>
        <w:rPr/>
      </w:pPr>
      <w:r>
        <w:rPr/>
      </w:r>
    </w:p>
    <w:p>
      <w:pPr>
        <w:pStyle w:val="Heading3"/>
        <w:numPr>
          <w:ilvl w:val="0"/>
          <w:numId w:val="3"/>
        </w:numPr>
        <w:rPr>
          <w:b/>
        </w:rPr>
      </w:pPr>
      <w:r>
        <w:rPr>
          <w:b/>
        </w:rPr>
        <w:t>Resource Requirements</w:t>
      </w:r>
    </w:p>
    <w:p>
      <w:pPr>
        <w:pStyle w:val="Normal"/>
        <w:rPr>
          <w:b/>
        </w:rPr>
      </w:pPr>
      <w:r>
        <w:rPr>
          <w:b/>
        </w:rPr>
      </w:r>
    </w:p>
    <w:p>
      <w:pPr>
        <w:pStyle w:val="Heading3"/>
        <w:numPr>
          <w:ilvl w:val="1"/>
          <w:numId w:val="2"/>
        </w:numPr>
        <w:rPr>
          <w:b/>
        </w:rPr>
      </w:pPr>
      <w:r>
        <w:rPr>
          <w:b/>
        </w:rPr>
        <w:t>Headcount</w:t>
      </w:r>
    </w:p>
    <w:p>
      <w:pPr>
        <w:pStyle w:val="Normal"/>
        <w:rPr>
          <w:b/>
        </w:rPr>
      </w:pPr>
      <w:r>
        <w:rPr>
          <w:b/>
        </w:rPr>
      </w:r>
    </w:p>
    <w:p>
      <w:pPr>
        <w:pStyle w:val="Heading3"/>
        <w:ind w:hanging="0" w:start="0"/>
        <w:rPr/>
      </w:pPr>
      <w:r>
        <w:rPr/>
        <w:t>There was a general discussion about optimal staffing levels within Support. Despite the scope for operational efficiencies, MH recognised that headcount needed to grow albeit in a carefully managed way. The emphasis should be to hire the “best and brightest” people who could rotate through different roles to ensure flexibility in the light of ever changing operational requirements.</w:t>
      </w:r>
      <w:r>
        <w:rPr>
          <w:color w:val="FF0000"/>
        </w:rPr>
        <w:t xml:space="preserve"> Action : TPP to obtain sign-off for </w:t>
      </w:r>
      <w:r>
        <w:rPr>
          <w:b/>
          <w:i/>
          <w:color w:val="FF0000"/>
        </w:rPr>
        <w:t>11 new hires</w:t>
      </w:r>
      <w:r>
        <w:rPr>
          <w:color w:val="FF0000"/>
        </w:rPr>
        <w:t xml:space="preserve"> (including two new IT hires) from MH, MF and Michael Brown.</w:t>
      </w:r>
    </w:p>
    <w:p>
      <w:pPr>
        <w:pStyle w:val="Normal"/>
        <w:rPr>
          <w:b/>
        </w:rPr>
      </w:pPr>
      <w:r>
        <w:rPr>
          <w:b/>
        </w:rPr>
      </w:r>
    </w:p>
    <w:p>
      <w:pPr>
        <w:pStyle w:val="Heading3"/>
        <w:numPr>
          <w:ilvl w:val="1"/>
          <w:numId w:val="5"/>
        </w:numPr>
        <w:rPr>
          <w:b/>
        </w:rPr>
      </w:pPr>
      <w:r>
        <w:rPr>
          <w:b/>
        </w:rPr>
        <w:t>AS400 IT Development</w:t>
      </w:r>
    </w:p>
    <w:p>
      <w:pPr>
        <w:pStyle w:val="Normal"/>
        <w:rPr>
          <w:b/>
        </w:rPr>
      </w:pPr>
      <w:r>
        <w:rPr>
          <w:b/>
        </w:rPr>
      </w:r>
    </w:p>
    <w:p>
      <w:pPr>
        <w:pStyle w:val="Heading3"/>
        <w:ind w:hanging="0" w:start="0"/>
        <w:rPr/>
      </w:pPr>
      <w:r>
        <w:rPr/>
        <w:t xml:space="preserve">There was a brief discussion and consensus that certain business processes could be automated to reduce operational risk and increase efficiency. MH identified deal capture – </w:t>
      </w:r>
      <w:r>
        <w:rPr>
          <w:b/>
          <w:i/>
        </w:rPr>
        <w:t>interfaces with AS400</w:t>
      </w:r>
      <w:r>
        <w:rPr/>
        <w:t xml:space="preserve"> – as a prime candidate and TPP confirmed that this a major project already under consideration (KR has already scoped work). </w:t>
      </w:r>
      <w:r>
        <w:rPr>
          <w:color w:val="FF0000"/>
        </w:rPr>
        <w:t>Action : KR to implement EOL bridge this month. Action : KR &amp; TPP to develop a plan, including IT resource allocation, to automate market page.</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3)</w:t>
        <w:tab/>
        <w:t>Specific Business Issues</w:t>
      </w:r>
    </w:p>
    <w:p>
      <w:pPr>
        <w:pStyle w:val="Normal"/>
        <w:spacing w:lineRule="atLeast" w:line="240"/>
        <w:rPr>
          <w:b/>
          <w:color w:val="000000"/>
          <w:sz w:val="24"/>
          <w:lang w:val="en-AU" w:eastAsia="en-US"/>
        </w:rPr>
      </w:pPr>
      <w:r>
        <w:rPr>
          <w:b/>
          <w:color w:val="000000"/>
          <w:sz w:val="24"/>
          <w:lang w:val="en-AU" w:eastAsia="en-US"/>
        </w:rPr>
      </w:r>
    </w:p>
    <w:p>
      <w:pPr>
        <w:pStyle w:val="Heading3"/>
        <w:numPr>
          <w:ilvl w:val="1"/>
          <w:numId w:val="8"/>
        </w:numPr>
        <w:rPr>
          <w:b/>
        </w:rPr>
      </w:pPr>
      <w:r>
        <w:rPr>
          <w:b/>
        </w:rPr>
        <w:t>Inventory Management</w:t>
      </w:r>
    </w:p>
    <w:p>
      <w:pPr>
        <w:pStyle w:val="Heading3"/>
        <w:ind w:hanging="0" w:start="0"/>
        <w:rPr>
          <w:b/>
        </w:rPr>
      </w:pPr>
      <w:r>
        <w:rPr>
          <w:b/>
        </w:rPr>
      </w:r>
    </w:p>
    <w:p>
      <w:pPr>
        <w:pStyle w:val="Heading3"/>
        <w:ind w:hanging="0" w:start="0"/>
        <w:rPr/>
      </w:pPr>
      <w:r>
        <w:rPr/>
        <w:t>See HC above</w:t>
      </w:r>
    </w:p>
    <w:p>
      <w:pPr>
        <w:pStyle w:val="Normal"/>
        <w:spacing w:lineRule="atLeast" w:line="240"/>
        <w:rPr>
          <w:b/>
          <w:color w:val="000000"/>
          <w:sz w:val="24"/>
          <w:lang w:val="en-AU" w:eastAsia="en-US"/>
        </w:rPr>
      </w:pPr>
      <w:r>
        <w:rPr>
          <w:b/>
          <w:color w:val="000000"/>
          <w:sz w:val="24"/>
          <w:lang w:val="en-AU" w:eastAsia="en-US"/>
        </w:rPr>
      </w:r>
    </w:p>
    <w:p>
      <w:pPr>
        <w:pStyle w:val="Heading5"/>
        <w:ind w:hanging="0" w:start="0"/>
        <w:rPr/>
      </w:pPr>
      <w:r>
        <w:rPr/>
        <w:t>3.2)</w:t>
        <w:tab/>
        <w:t>Project Cook</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color w:val="000000"/>
          <w:sz w:val="24"/>
          <w:lang w:val="en-AU" w:eastAsia="en-US"/>
        </w:rPr>
      </w:pPr>
      <w:r>
        <w:rPr>
          <w:color w:val="000000"/>
          <w:sz w:val="24"/>
          <w:lang w:val="en-AU" w:eastAsia="en-US"/>
        </w:rPr>
        <w:t xml:space="preserve">Unfortunately owing to a lack of time this discussion was taken off line. </w:t>
      </w:r>
      <w:r>
        <w:rPr>
          <w:color w:val="FF0000"/>
          <w:sz w:val="24"/>
          <w:lang w:val="en-AU" w:eastAsia="en-US"/>
        </w:rPr>
        <w:t>Action : RS to update the group on the integration plan, milestones to date and outstanding issues.</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b/>
          <w:color w:val="000000"/>
          <w:sz w:val="24"/>
          <w:lang w:val="en-AU" w:eastAsia="en-US"/>
        </w:rPr>
      </w:pPr>
      <w:r>
        <w:rPr>
          <w:b/>
          <w:color w:val="000000"/>
          <w:sz w:val="24"/>
          <w:lang w:val="en-AU" w:eastAsia="en-US"/>
        </w:rPr>
        <w:t>3.3)</w:t>
        <w:tab/>
        <w:t>FX/Rho Methodology</w:t>
      </w:r>
    </w:p>
    <w:p>
      <w:pPr>
        <w:pStyle w:val="Normal"/>
        <w:spacing w:lineRule="atLeast" w:line="240"/>
        <w:rPr>
          <w:b/>
          <w:color w:val="000000"/>
          <w:sz w:val="24"/>
          <w:lang w:val="en-AU" w:eastAsia="en-US"/>
        </w:rPr>
      </w:pPr>
      <w:r>
        <w:rPr>
          <w:b/>
          <w:color w:val="000000"/>
          <w:sz w:val="24"/>
          <w:lang w:val="en-AU" w:eastAsia="en-US"/>
        </w:rPr>
      </w:r>
    </w:p>
    <w:p>
      <w:pPr>
        <w:pStyle w:val="BodyText"/>
        <w:rPr/>
      </w:pPr>
      <w:r>
        <w:rPr/>
        <w:t>AC presented a draft paper entitled “</w:t>
      </w:r>
      <w:r>
        <w:rPr>
          <w:b/>
          <w:i/>
        </w:rPr>
        <w:t>Proposed Business Process for Rho &amp; FX Management</w:t>
      </w:r>
      <w:r>
        <w:rPr/>
        <w:t xml:space="preserve">”. AC explained the existing Corp policy for hedging/managing interest rate and FX risk and the scope for requesting an exception to the policy for Enron Metals. </w:t>
      </w:r>
      <w:r>
        <w:rPr>
          <w:color w:val="FF0000"/>
        </w:rPr>
        <w:t>Action : MF and MH to revert with recommendation to AC.</w:t>
      </w:r>
    </w:p>
    <w:p>
      <w:pPr>
        <w:pStyle w:val="Normal"/>
        <w:spacing w:lineRule="atLeast" w:line="240"/>
        <w:rPr>
          <w:color w:val="000000"/>
          <w:sz w:val="24"/>
          <w:lang w:val="en-AU" w:eastAsia="en-US"/>
        </w:rPr>
      </w:pPr>
      <w:r>
        <w:rPr>
          <w:color w:val="000000"/>
          <w:sz w:val="24"/>
          <w:lang w:val="en-AU" w:eastAsia="en-US"/>
        </w:rPr>
      </w:r>
    </w:p>
    <w:p>
      <w:pPr>
        <w:pStyle w:val="Heading3"/>
        <w:ind w:hanging="0" w:start="0"/>
        <w:rPr>
          <w:b/>
        </w:rPr>
      </w:pPr>
      <w:r>
        <w:rPr>
          <w:b/>
        </w:rPr>
        <w:t>3.4)</w:t>
        <w:tab/>
        <w:t>Remote Offices</w:t>
      </w:r>
    </w:p>
    <w:p>
      <w:pPr>
        <w:pStyle w:val="Normal"/>
        <w:spacing w:lineRule="atLeast" w:line="240"/>
        <w:rPr>
          <w:b/>
          <w:color w:val="000000"/>
          <w:sz w:val="24"/>
          <w:lang w:val="en-AU" w:eastAsia="en-US"/>
        </w:rPr>
      </w:pPr>
      <w:r>
        <w:rPr>
          <w:b/>
          <w:color w:val="000000"/>
          <w:sz w:val="24"/>
          <w:lang w:val="en-AU" w:eastAsia="en-US"/>
        </w:rPr>
      </w:r>
    </w:p>
    <w:p>
      <w:pPr>
        <w:pStyle w:val="Normal"/>
        <w:spacing w:lineRule="atLeast" w:line="240"/>
        <w:rPr/>
      </w:pPr>
      <w:r>
        <w:rPr>
          <w:color w:val="000000"/>
          <w:sz w:val="24"/>
          <w:lang w:val="en-AU" w:eastAsia="en-US"/>
        </w:rPr>
        <w:t xml:space="preserve">AC said that he was updating the list of </w:t>
      </w:r>
      <w:r>
        <w:rPr>
          <w:b/>
          <w:i/>
          <w:color w:val="000000"/>
          <w:sz w:val="24"/>
          <w:lang w:val="en-AU" w:eastAsia="en-US"/>
        </w:rPr>
        <w:t>Authorised Traders</w:t>
      </w:r>
      <w:r>
        <w:rPr>
          <w:color w:val="000000"/>
          <w:sz w:val="24"/>
          <w:lang w:val="en-AU" w:eastAsia="en-US"/>
        </w:rPr>
        <w:t xml:space="preserve"> and TPP said he would follow this up with supplementary memo’s explaining </w:t>
      </w:r>
      <w:r>
        <w:rPr>
          <w:b/>
          <w:i/>
          <w:color w:val="000000"/>
          <w:sz w:val="24"/>
          <w:lang w:val="en-AU" w:eastAsia="en-US"/>
        </w:rPr>
        <w:t>implications for quoting and executing business</w:t>
      </w:r>
      <w:r>
        <w:rPr>
          <w:color w:val="000000"/>
          <w:sz w:val="24"/>
          <w:lang w:val="en-AU" w:eastAsia="en-US"/>
        </w:rPr>
        <w:t xml:space="preserve"> in Montreal, Chicago, St Louis, Seoul and Shanghai. </w:t>
      </w:r>
      <w:r>
        <w:rPr>
          <w:color w:val="FF0000"/>
          <w:sz w:val="24"/>
          <w:lang w:val="en-AU" w:eastAsia="en-US"/>
        </w:rPr>
        <w:t>Action : AC to update list and TPP to issue supplementary memo’s.</w:t>
      </w:r>
    </w:p>
    <w:p>
      <w:pPr>
        <w:pStyle w:val="Normal"/>
        <w:spacing w:lineRule="atLeast" w:line="240"/>
        <w:rPr>
          <w:color w:val="000000"/>
          <w:sz w:val="24"/>
          <w:lang w:val="en-AU" w:eastAsia="en-US"/>
        </w:rPr>
      </w:pPr>
      <w:r>
        <w:rPr>
          <w:color w:val="000000"/>
          <w:sz w:val="24"/>
          <w:lang w:val="en-AU" w:eastAsia="en-US"/>
        </w:rPr>
        <w:t xml:space="preserve"> </w:t>
      </w:r>
    </w:p>
    <w:p>
      <w:pPr>
        <w:pStyle w:val="Normal"/>
        <w:spacing w:lineRule="atLeast" w:line="240"/>
        <w:rPr>
          <w:b/>
          <w:i/>
          <w:i/>
          <w:color w:val="000000"/>
          <w:sz w:val="24"/>
          <w:lang w:val="en-AU" w:eastAsia="en-US"/>
        </w:rPr>
      </w:pPr>
      <w:r>
        <w:rPr>
          <w:b/>
          <w:i/>
          <w:color w:val="000000"/>
          <w:sz w:val="24"/>
          <w:lang w:val="en-AU" w:eastAsia="en-US"/>
        </w:rPr>
      </w:r>
    </w:p>
    <w:p>
      <w:pPr>
        <w:pStyle w:val="Normal"/>
        <w:spacing w:lineRule="atLeast" w:line="240"/>
        <w:rPr>
          <w:b/>
          <w:i/>
          <w:i/>
          <w:color w:val="000000"/>
          <w:sz w:val="24"/>
          <w:lang w:val="en-AU" w:eastAsia="en-US"/>
        </w:rPr>
      </w:pPr>
      <w:r>
        <w:rPr>
          <w:b/>
          <w:i/>
          <w:color w:val="000000"/>
          <w:sz w:val="24"/>
          <w:lang w:val="en-AU" w:eastAsia="en-US"/>
        </w:rPr>
        <w:t>Distributed at Meeting:</w:t>
      </w:r>
    </w:p>
    <w:p>
      <w:pPr>
        <w:pStyle w:val="Normal"/>
        <w:spacing w:lineRule="atLeast" w:line="240"/>
        <w:rPr>
          <w:b/>
          <w:i/>
          <w:i/>
          <w:color w:val="000000"/>
          <w:sz w:val="24"/>
          <w:lang w:val="en-AU" w:eastAsia="en-US"/>
        </w:rPr>
      </w:pPr>
      <w:r>
        <w:rPr>
          <w:b/>
          <w:i/>
          <w:color w:val="000000"/>
          <w:sz w:val="24"/>
          <w:lang w:val="en-AU" w:eastAsia="en-US"/>
        </w:rPr>
      </w:r>
    </w:p>
    <w:p>
      <w:pPr>
        <w:pStyle w:val="Heading6"/>
        <w:ind w:hanging="0" w:start="0"/>
        <w:rPr/>
      </w:pPr>
      <w:r>
        <w:rPr/>
        <w:t>Operational Risk Assessment</w:t>
      </w:r>
    </w:p>
    <w:p>
      <w:pPr>
        <w:pStyle w:val="Heading6"/>
        <w:ind w:hanging="0" w:start="0"/>
        <w:rPr/>
      </w:pPr>
      <w:r>
        <w:rPr/>
        <w:t>Support Organisation Chart</w:t>
      </w:r>
    </w:p>
    <w:p>
      <w:pPr>
        <w:pStyle w:val="Normal"/>
        <w:spacing w:lineRule="atLeast" w:line="240"/>
        <w:rPr>
          <w:b/>
          <w:i/>
          <w:i/>
          <w:color w:val="000000"/>
          <w:sz w:val="24"/>
          <w:lang w:val="en-AU" w:eastAsia="en-US"/>
        </w:rPr>
      </w:pPr>
      <w:r>
        <w:rPr>
          <w:b/>
          <w:i/>
          <w:color w:val="000000"/>
          <w:sz w:val="24"/>
          <w:lang w:val="en-AU" w:eastAsia="en-US"/>
        </w:rPr>
        <w:t>AS400 6-week Rolling Workplan</w:t>
      </w:r>
    </w:p>
    <w:p>
      <w:pPr>
        <w:pStyle w:val="Normal"/>
        <w:spacing w:lineRule="atLeast" w:line="240"/>
        <w:rPr>
          <w:b/>
          <w:i/>
          <w:i/>
          <w:color w:val="000000"/>
          <w:sz w:val="24"/>
          <w:lang w:val="en-AU" w:eastAsia="en-US"/>
        </w:rPr>
      </w:pPr>
      <w:r>
        <w:rPr>
          <w:b/>
          <w:i/>
          <w:color w:val="000000"/>
          <w:sz w:val="24"/>
          <w:lang w:val="en-AU" w:eastAsia="en-US"/>
        </w:rPr>
        <w:t>Proposed New Hire Details</w:t>
      </w:r>
    </w:p>
    <w:p>
      <w:pPr>
        <w:pStyle w:val="Normal"/>
        <w:spacing w:lineRule="atLeast" w:line="240"/>
        <w:rPr>
          <w:b/>
          <w:i/>
          <w:i/>
          <w:color w:val="000000"/>
          <w:sz w:val="24"/>
          <w:lang w:val="en-AU" w:eastAsia="en-US"/>
        </w:rPr>
      </w:pPr>
      <w:r>
        <w:rPr>
          <w:b/>
          <w:i/>
          <w:color w:val="000000"/>
          <w:sz w:val="24"/>
          <w:lang w:val="en-AU" w:eastAsia="en-US"/>
        </w:rPr>
        <w:t>Rho &amp; FX Management Proposal for Enron Metals</w:t>
      </w:r>
    </w:p>
    <w:p>
      <w:pPr>
        <w:pStyle w:val="Normal"/>
        <w:spacing w:lineRule="atLeast" w:line="240"/>
        <w:rPr>
          <w:b/>
          <w:i/>
          <w:i/>
          <w:color w:val="000000"/>
          <w:sz w:val="24"/>
          <w:lang w:val="en-AU" w:eastAsia="en-US"/>
        </w:rPr>
      </w:pPr>
      <w:r>
        <w:rPr>
          <w:b/>
          <w:i/>
          <w:color w:val="000000"/>
          <w:sz w:val="24"/>
          <w:lang w:val="en-AU" w:eastAsia="en-US"/>
        </w:rPr>
      </w:r>
    </w:p>
    <w:p>
      <w:pPr>
        <w:pStyle w:val="Normal"/>
        <w:spacing w:lineRule="atLeast" w:line="240"/>
        <w:rPr>
          <w:b/>
          <w:i/>
          <w:i/>
          <w:color w:val="000000"/>
          <w:sz w:val="24"/>
          <w:lang w:val="en-AU" w:eastAsia="en-US"/>
        </w:rPr>
      </w:pPr>
      <w:r>
        <w:rPr>
          <w:b/>
          <w:i/>
          <w:color w:val="000000"/>
          <w:sz w:val="24"/>
          <w:lang w:val="en-AU" w:eastAsia="en-US"/>
        </w:rPr>
      </w:r>
    </w:p>
    <w:p>
      <w:pPr>
        <w:pStyle w:val="Normal"/>
        <w:spacing w:lineRule="atLeast" w:line="240"/>
        <w:ind w:start="1440" w:end="0"/>
        <w:rPr>
          <w:color w:val="000000"/>
          <w:sz w:val="24"/>
          <w:lang w:val="en-AU" w:eastAsia="en-US"/>
        </w:rPr>
      </w:pPr>
      <w:r>
        <w:rPr>
          <w:color w:val="000000"/>
          <w:sz w:val="24"/>
          <w:lang w:val="en-AU" w:eastAsia="en-US"/>
        </w:rPr>
      </w:r>
    </w:p>
    <w:p>
      <w:pPr>
        <w:pStyle w:val="Normal"/>
        <w:spacing w:lineRule="atLeast" w:line="240"/>
        <w:ind w:start="1440" w:end="0"/>
        <w:rPr>
          <w:color w:val="000000"/>
          <w:sz w:val="24"/>
          <w:lang w:val="en-AU" w:eastAsia="en-US"/>
        </w:rPr>
      </w:pPr>
      <w:r>
        <w:rPr>
          <w:color w:val="000000"/>
          <w:sz w:val="24"/>
          <w:lang w:val="en-AU" w:eastAsia="en-US"/>
        </w:rPr>
      </w:r>
    </w:p>
    <w:p>
      <w:pPr>
        <w:pStyle w:val="Normal"/>
        <w:spacing w:lineRule="atLeast" w:line="240"/>
        <w:ind w:start="1440" w:end="0"/>
        <w:rPr>
          <w:color w:val="000000"/>
          <w:sz w:val="24"/>
          <w:lang w:val="en-AU" w:eastAsia="en-US"/>
        </w:rPr>
      </w:pPr>
      <w:r>
        <w:rPr>
          <w:color w:val="000000"/>
          <w:sz w:val="24"/>
          <w:lang w:val="en-AU"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2"/>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Helv;Arial" w:hAnsi="Helv;Arial" w:cs="Helv;Arial"/>
      <w:b/>
      <w:color w:val="000000"/>
      <w:lang w:val="en-AU" w:eastAsia="en-US"/>
    </w:rPr>
  </w:style>
  <w:style w:type="paragraph" w:styleId="Heading2">
    <w:name w:val="heading 2"/>
    <w:basedOn w:val="Normal"/>
    <w:next w:val="Normal"/>
    <w:qFormat/>
    <w:pPr>
      <w:keepNext w:val="true"/>
      <w:numPr>
        <w:ilvl w:val="1"/>
        <w:numId w:val="1"/>
      </w:numPr>
      <w:spacing w:lineRule="atLeast" w:line="240"/>
      <w:ind w:hanging="0" w:start="720" w:end="0"/>
      <w:outlineLvl w:val="1"/>
    </w:pPr>
    <w:rPr>
      <w:color w:val="000000"/>
      <w:sz w:val="24"/>
      <w:lang w:val="en-AU" w:eastAsia="en-US"/>
    </w:rPr>
  </w:style>
  <w:style w:type="paragraph" w:styleId="Heading3">
    <w:name w:val="heading 3"/>
    <w:basedOn w:val="Normal"/>
    <w:next w:val="Normal"/>
    <w:qFormat/>
    <w:pPr>
      <w:keepNext w:val="true"/>
      <w:numPr>
        <w:ilvl w:val="2"/>
        <w:numId w:val="1"/>
      </w:numPr>
      <w:spacing w:lineRule="atLeast" w:line="240"/>
      <w:outlineLvl w:val="2"/>
    </w:pPr>
    <w:rPr>
      <w:color w:val="000000"/>
      <w:sz w:val="24"/>
      <w:lang w:val="en-AU" w:eastAsia="en-US"/>
    </w:rPr>
  </w:style>
  <w:style w:type="paragraph" w:styleId="Heading4">
    <w:name w:val="heading 4"/>
    <w:basedOn w:val="Normal"/>
    <w:next w:val="Normal"/>
    <w:qFormat/>
    <w:pPr>
      <w:keepNext w:val="true"/>
      <w:numPr>
        <w:ilvl w:val="3"/>
        <w:numId w:val="1"/>
      </w:numPr>
      <w:spacing w:lineRule="atLeast" w:line="240"/>
      <w:ind w:hanging="0" w:start="1440" w:end="0"/>
      <w:outlineLvl w:val="3"/>
    </w:pPr>
    <w:rPr>
      <w:color w:val="FF0000"/>
      <w:sz w:val="24"/>
      <w:lang w:val="en-AU" w:eastAsia="en-US"/>
    </w:rPr>
  </w:style>
  <w:style w:type="paragraph" w:styleId="Heading5">
    <w:name w:val="heading 5"/>
    <w:basedOn w:val="Normal"/>
    <w:next w:val="Normal"/>
    <w:qFormat/>
    <w:pPr>
      <w:keepNext w:val="true"/>
      <w:numPr>
        <w:ilvl w:val="4"/>
        <w:numId w:val="1"/>
      </w:numPr>
      <w:spacing w:lineRule="atLeast" w:line="240"/>
      <w:outlineLvl w:val="4"/>
    </w:pPr>
    <w:rPr>
      <w:b/>
      <w:color w:val="000000"/>
      <w:sz w:val="24"/>
      <w:lang w:val="en-AU" w:eastAsia="en-US"/>
    </w:rPr>
  </w:style>
  <w:style w:type="paragraph" w:styleId="Heading6">
    <w:name w:val="heading 6"/>
    <w:basedOn w:val="Normal"/>
    <w:next w:val="Normal"/>
    <w:qFormat/>
    <w:pPr>
      <w:keepNext w:val="true"/>
      <w:numPr>
        <w:ilvl w:val="5"/>
        <w:numId w:val="1"/>
      </w:numPr>
      <w:spacing w:lineRule="atLeast" w:line="240"/>
      <w:outlineLvl w:val="5"/>
    </w:pPr>
    <w:rPr>
      <w:b/>
      <w:i/>
      <w:color w:val="000000"/>
      <w:sz w:val="24"/>
      <w:lang w:val="en-AU" w:eastAsia="en-U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Wingdings" w:hAnsi="Wingdings" w:cs="Wingdings"/>
    </w:rPr>
  </w:style>
  <w:style w:type="character" w:styleId="WW8Num19z0">
    <w:name w:val="WW8Num1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4"/>
      <w:lang w:val="en-AU"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2000-11-02T13:52:00Z</dcterms:created>
  <dc:creator>twood</dc:creator>
  <dc:description/>
  <dc:language>en-CA</dc:language>
  <cp:lastModifiedBy>TPoullai</cp:lastModifiedBy>
  <cp:lastPrinted>2000-11-03T09:52:00Z</cp:lastPrinted>
  <dcterms:modified xsi:type="dcterms:W3CDTF">2000-11-03T07:26:00Z</dcterms:modified>
  <cp:revision>10</cp:revision>
  <dc:subject/>
  <dc:title>Agenda :</dc:title>
</cp:coreProperties>
</file>