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Business Purpose</w:t>
      </w:r>
    </w:p>
    <w:p>
      <w:pPr>
        <w:pStyle w:val="Normal"/>
        <w:rPr/>
      </w:pPr>
      <w:r>
        <w:rPr/>
        <w:t>This should be a for-profit entity that sells the innate advantages of being a control area to the highest bidder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Set up such that owners have no prior claim on the outputs of the SPV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Set up to be clearly independent to minimize  perception of  conflict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Set up to facilitate IPO and accounting independence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-270"/>
        <w:rPr/>
      </w:pPr>
      <w:r>
        <w:rPr/>
        <w:t>Set up as flexible so as to manage and monetize activities and assets beyond those associated with initial CA.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-270"/>
        <w:rPr/>
      </w:pPr>
      <w:r>
        <w:rPr/>
        <w:t>Set up so as structure can be incorporated into existing Enron and MS business if values bid by industry counterparts are insufficient</w:t>
      </w:r>
    </w:p>
    <w:p>
      <w:pPr>
        <w:pStyle w:val="Heading1"/>
        <w:ind w:hanging="0" w:start="0"/>
        <w:rPr/>
      </w:pPr>
      <w:r>
        <w:rPr/>
        <w:t xml:space="preserve">Business Services </w:t>
      </w:r>
    </w:p>
    <w:p>
      <w:pPr>
        <w:pStyle w:val="Normal"/>
        <w:numPr>
          <w:ilvl w:val="0"/>
          <w:numId w:val="2"/>
        </w:numPr>
        <w:rPr/>
      </w:pPr>
      <w:r>
        <w:rPr/>
        <w:t>Increased transfer capability</w:t>
      </w:r>
    </w:p>
    <w:p>
      <w:pPr>
        <w:pStyle w:val="Normal"/>
        <w:numPr>
          <w:ilvl w:val="0"/>
          <w:numId w:val="2"/>
        </w:numPr>
        <w:rPr/>
      </w:pPr>
      <w:r>
        <w:rPr/>
        <w:t>Parking benefit (how proportional to load???)</w:t>
      </w:r>
    </w:p>
    <w:p>
      <w:pPr>
        <w:pStyle w:val="Normal"/>
        <w:numPr>
          <w:ilvl w:val="0"/>
          <w:numId w:val="2"/>
        </w:numPr>
        <w:rPr/>
      </w:pPr>
      <w:r>
        <w:rPr/>
        <w:t>Coordination services and ancillary services sales</w:t>
      </w:r>
    </w:p>
    <w:p>
      <w:pPr>
        <w:pStyle w:val="Normal"/>
        <w:numPr>
          <w:ilvl w:val="0"/>
          <w:numId w:val="2"/>
        </w:numPr>
        <w:rPr/>
      </w:pPr>
      <w:r>
        <w:rPr/>
        <w:t>Sale of assets to assist in achieving appropriate accounting and tax treatment</w:t>
      </w:r>
    </w:p>
    <w:p>
      <w:pPr>
        <w:pStyle w:val="Normal"/>
        <w:numPr>
          <w:ilvl w:val="0"/>
          <w:numId w:val="2"/>
        </w:numPr>
        <w:rPr/>
      </w:pPr>
      <w:r>
        <w:rPr/>
        <w:t>Negotiating leverage in ISO negotiations</w:t>
      </w:r>
    </w:p>
    <w:p>
      <w:pPr>
        <w:pStyle w:val="Normal"/>
        <w:numPr>
          <w:ilvl w:val="0"/>
          <w:numId w:val="2"/>
        </w:numPr>
        <w:rPr/>
      </w:pPr>
      <w:r>
        <w:rPr/>
        <w:t>Increased capacity factor and enhanced ability to sell liquidated damages product</w:t>
      </w:r>
    </w:p>
    <w:p>
      <w:pPr>
        <w:pStyle w:val="Heading1"/>
        <w:ind w:hanging="0" w:start="0"/>
        <w:rPr/>
      </w:pPr>
      <w:r>
        <w:rPr/>
        <w:t>Governance &amp; Outcomes</w:t>
      </w:r>
    </w:p>
    <w:p>
      <w:pPr>
        <w:pStyle w:val="Normal"/>
        <w:rPr/>
      </w:pPr>
      <w:r>
        <w:rPr/>
        <w:tab/>
        <w:t>Ensure 50/50 split of earnings and costs through SPV buying all inputs from third parties and owners at arms-length</w:t>
      </w:r>
    </w:p>
    <w:p>
      <w:pPr>
        <w:pStyle w:val="Normal"/>
        <w:numPr>
          <w:ilvl w:val="0"/>
          <w:numId w:val="2"/>
        </w:numPr>
        <w:rPr/>
      </w:pPr>
      <w:r>
        <w:rPr/>
        <w:t>Control area operations center</w:t>
      </w:r>
    </w:p>
    <w:p>
      <w:pPr>
        <w:pStyle w:val="Normal"/>
        <w:numPr>
          <w:ilvl w:val="0"/>
          <w:numId w:val="2"/>
        </w:numPr>
        <w:rPr/>
      </w:pPr>
      <w:r>
        <w:rPr/>
        <w:t>Assets and Asset services</w:t>
      </w:r>
    </w:p>
    <w:p>
      <w:pPr>
        <w:pStyle w:val="Normal"/>
        <w:numPr>
          <w:ilvl w:val="0"/>
          <w:numId w:val="2"/>
        </w:numPr>
        <w:rPr/>
      </w:pPr>
      <w:r>
        <w:rPr/>
        <w:t>Load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Negotiate details before valuations and ensure sr. mg t. is involved in detail decisions to ensure stake in outcome (makes it harder to walk away on impasse in service valuations)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Process</w:t>
      </w:r>
    </w:p>
    <w:p>
      <w:pPr>
        <w:pStyle w:val="Normal"/>
        <w:ind w:firstLine="720" w:end="0"/>
        <w:rPr/>
      </w:pPr>
      <w:r>
        <w:rPr/>
        <w:t>Each party estimates service valuations</w:t>
      </w:r>
    </w:p>
    <w:p>
      <w:pPr>
        <w:pStyle w:val="Normal"/>
        <w:ind w:firstLine="720" w:end="0"/>
        <w:rPr/>
      </w:pPr>
      <w:r>
        <w:rPr/>
        <w:t>Each party propose assets/services to be contributed and process by which assets/services will be valued</w:t>
      </w:r>
    </w:p>
    <w:p>
      <w:pPr>
        <w:pStyle w:val="Normal"/>
        <w:ind w:firstLine="720" w:end="0"/>
        <w:rPr/>
      </w:pPr>
      <w:r>
        <w:rPr/>
        <w:t>Parties determine whether or not to enter negotiations based on values</w:t>
      </w:r>
    </w:p>
    <w:p>
      <w:pPr>
        <w:pStyle w:val="Normal"/>
        <w:ind w:firstLine="720" w:end="0"/>
        <w:rPr/>
      </w:pPr>
      <w:r>
        <w:rPr/>
        <w:t>Parties negotiate non-circumvent and confidentiality agreements</w:t>
      </w:r>
    </w:p>
    <w:p>
      <w:pPr>
        <w:pStyle w:val="Normal"/>
        <w:ind w:firstLine="720" w:end="0"/>
        <w:rPr/>
      </w:pPr>
      <w:r>
        <w:rPr/>
        <w:t>Parties negotiate governance</w:t>
      </w:r>
    </w:p>
    <w:p>
      <w:pPr>
        <w:pStyle w:val="Normal"/>
        <w:ind w:firstLine="720" w:end="0"/>
        <w:rPr/>
      </w:pPr>
      <w:r>
        <w:rPr/>
        <w:t>Parties negotiate proposed exit strategies, e.g. IPO, liquidation, etc.</w:t>
      </w:r>
    </w:p>
    <w:p>
      <w:pPr>
        <w:pStyle w:val="Normal"/>
        <w:ind w:firstLine="720" w:end="0"/>
        <w:rPr/>
      </w:pPr>
      <w:r>
        <w:rPr/>
        <w:t>Parties negotiate sales of services to SPV from parents</w:t>
      </w:r>
    </w:p>
    <w:p>
      <w:pPr>
        <w:pStyle w:val="Normal"/>
        <w:ind w:firstLine="720" w:end="0"/>
        <w:rPr/>
      </w:pPr>
      <w:r>
        <w:rPr/>
      </w:r>
    </w:p>
    <w:sectPr>
      <w:type w:val="nextPage"/>
      <w:pgSz w:w="12240" w:h="15840"/>
      <w:pgMar w:left="1440" w:right="1440" w:gutter="0" w:header="0" w:top="2160" w:footer="0" w:bottom="21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2000-12-04T21:15:00Z</dcterms:created>
  <dc:creator>John Woodley</dc:creator>
  <dc:description/>
  <dc:language>en-CA</dc:language>
  <cp:lastModifiedBy>Karen Kochonies</cp:lastModifiedBy>
  <dcterms:modified xsi:type="dcterms:W3CDTF">2000-12-04T21:15:00Z</dcterms:modified>
  <cp:revision>2</cp:revision>
  <dc:subject/>
  <dc:title>Business Purpose</dc:title>
</cp:coreProperties>
</file>