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b/>
          <w:bCs/>
        </w:rPr>
      </w:pPr>
      <w:r>
        <w:rPr>
          <w:b/>
          <w:bCs/>
        </w:rPr>
        <w:t>TECO/Mosbacher Delmarva deal</w:t>
      </w:r>
    </w:p>
    <w:p>
      <w:pPr>
        <w:pStyle w:val="Normal"/>
        <w:rPr/>
      </w:pPr>
      <w:r>
        <w:rPr/>
      </w:r>
    </w:p>
    <w:p>
      <w:pPr>
        <w:pStyle w:val="Normal"/>
        <w:ind w:hanging="2160" w:start="2160" w:end="0"/>
        <w:rPr/>
      </w:pPr>
      <w:r>
        <w:rPr>
          <w:b/>
          <w:bCs/>
        </w:rPr>
        <w:t>Basic structure</w:t>
      </w:r>
      <w:r>
        <w:rPr/>
        <w:t>:</w:t>
        <w:tab/>
        <w:t>Two financial contract structure between EPMI and the Project LLC - Commonwealth Chesapeake Company (“CCC”).  The two non-physical contracts; financial - buy (“Buy Contract”) and financial - sell (“Sell Contract”) are identical, each incorporates a demand charge payment equal to debt service (“Covered Debt”) in exchange for the receipt of an index vs. formula energy price.</w:t>
      </w:r>
    </w:p>
    <w:p>
      <w:pPr>
        <w:pStyle w:val="Normal"/>
        <w:ind w:hanging="2160" w:start="2160" w:end="0"/>
        <w:rPr/>
      </w:pPr>
      <w:r>
        <w:rPr/>
      </w:r>
    </w:p>
    <w:p>
      <w:pPr>
        <w:pStyle w:val="Normal"/>
        <w:ind w:hanging="2160" w:start="2160" w:end="0"/>
        <w:rPr/>
      </w:pPr>
      <w:r>
        <w:rPr/>
        <w:tab/>
        <w:t>The contracts are not tied to each other as to performance nor are they tied to the Project as to performance.</w:t>
      </w:r>
    </w:p>
    <w:p>
      <w:pPr>
        <w:pStyle w:val="Normal"/>
        <w:ind w:hanging="2160" w:start="2160" w:end="0"/>
        <w:rPr/>
      </w:pPr>
      <w:r>
        <w:rPr/>
      </w:r>
    </w:p>
    <w:p>
      <w:pPr>
        <w:pStyle w:val="Normal"/>
        <w:ind w:hanging="2160" w:start="2160" w:end="0"/>
        <w:rPr/>
      </w:pPr>
      <w:r>
        <w:rPr/>
        <w:tab/>
        <w:t>The Buy Contract secures the bonds.</w:t>
      </w:r>
    </w:p>
    <w:p>
      <w:pPr>
        <w:pStyle w:val="Normal"/>
        <w:ind w:hanging="2160" w:start="2160" w:end="0"/>
        <w:rPr/>
      </w:pPr>
      <w:r>
        <w:rPr/>
      </w:r>
    </w:p>
    <w:p>
      <w:pPr>
        <w:pStyle w:val="Normal"/>
        <w:ind w:hanging="2160" w:start="2160" w:end="0"/>
        <w:rPr/>
      </w:pPr>
      <w:r>
        <w:rPr/>
        <w:tab/>
        <w:t>The Sell Contract is where Enron is repaid and will likely cause us to be a creditor to the Project.</w:t>
      </w:r>
    </w:p>
    <w:p>
      <w:pPr>
        <w:pStyle w:val="Normal"/>
        <w:ind w:hanging="2160" w:start="2160" w:end="0"/>
        <w:rPr/>
      </w:pPr>
      <w:r>
        <w:rPr/>
      </w:r>
    </w:p>
    <w:p>
      <w:pPr>
        <w:pStyle w:val="Normal"/>
        <w:ind w:hanging="2160" w:start="2160" w:end="0"/>
        <w:rPr/>
      </w:pPr>
      <w:r>
        <w:rPr/>
        <w:tab/>
        <w:t>Any obligations owed Enron under either of the two contracts will be secured by the assets of  CCC.</w:t>
      </w:r>
    </w:p>
    <w:p>
      <w:pPr>
        <w:pStyle w:val="Normal"/>
        <w:ind w:hanging="2880" w:start="2880" w:end="0"/>
        <w:rPr/>
      </w:pPr>
      <w:r>
        <w:rPr/>
      </w:r>
    </w:p>
    <w:p>
      <w:pPr>
        <w:pStyle w:val="Normal"/>
        <w:ind w:hanging="2880" w:start="2880" w:end="0"/>
        <w:rPr/>
      </w:pPr>
      <w:r>
        <w:rPr>
          <w:b/>
          <w:bCs/>
        </w:rPr>
        <w:t>Contract requirements</w:t>
      </w:r>
      <w:r>
        <w:rPr/>
        <w:t>:</w:t>
      </w:r>
    </w:p>
    <w:p>
      <w:pPr>
        <w:pStyle w:val="Normal"/>
        <w:ind w:hanging="2880" w:start="2880" w:end="0"/>
        <w:rPr/>
      </w:pPr>
      <w:r>
        <w:rPr/>
      </w:r>
    </w:p>
    <w:p>
      <w:pPr>
        <w:pStyle w:val="Normal"/>
        <w:rPr/>
      </w:pPr>
      <w:r>
        <w:rPr>
          <w:u w:val="single"/>
        </w:rPr>
        <w:t>Enron must waive the right to terminate the Buy Contract due to bankruptcy</w:t>
      </w:r>
      <w:r>
        <w:rPr/>
        <w:t xml:space="preserve"> - Otherwise, we offer bondholders no value as this contract represents the cash flow that meets the commercial goal of 1.0x coverage.  However, in a bankruptcy process, we have no control over whether the judge rejects the Buy Contract or not.  If the bankruptcy judge rejects this contract, he/she will have to answer to bondholders.</w:t>
      </w:r>
    </w:p>
    <w:p>
      <w:pPr>
        <w:pStyle w:val="Normal"/>
        <w:rPr/>
      </w:pPr>
      <w:r>
        <w:rPr/>
      </w:r>
    </w:p>
    <w:p>
      <w:pPr>
        <w:pStyle w:val="Normal"/>
        <w:rPr/>
      </w:pPr>
      <w:r>
        <w:rPr>
          <w:u w:val="single"/>
        </w:rPr>
        <w:t>Enron can terminate the Buy Contract due to non-performance</w:t>
      </w:r>
      <w:r>
        <w:rPr/>
        <w:t xml:space="preserve"> - The Buy contract is a financial contract that exchanges a demand charge for payments that are the financial equivalent of the Project being dispatched into the PJM hourly market.  If CCC does not make the payment back to EPMI, then we want to be able to terminate the Buy Contract for non-performance.  As long as the Sell Contract is in place, CCC gets their money back and there’s no effect.  If the Sell Contract is not in place, then the Project dispatched into the market will raise the money for the payment to EPMI.  If the plant is inoperable, then that is not an EPMI risk, and payments to EPMI must be covered by some other source such as unit availability insurance or business interruption insurance.  If the formula energy payments back to Enron are not paid, then those payments represent one possible mechanism for Enron to become a creditor to the Project.</w:t>
      </w:r>
    </w:p>
    <w:p>
      <w:pPr>
        <w:pStyle w:val="Normal"/>
        <w:rPr/>
      </w:pPr>
      <w:r>
        <w:rPr/>
      </w:r>
    </w:p>
    <w:p>
      <w:pPr>
        <w:pStyle w:val="Normal"/>
        <w:rPr/>
      </w:pPr>
      <w:r>
        <w:rPr>
          <w:u w:val="single"/>
        </w:rPr>
        <w:t>Enron could become a creditor to CCC in any number of ways</w:t>
      </w:r>
      <w:r>
        <w:rPr/>
        <w:t>:</w:t>
      </w:r>
    </w:p>
    <w:p>
      <w:pPr>
        <w:pStyle w:val="Normal"/>
        <w:numPr>
          <w:ilvl w:val="0"/>
          <w:numId w:val="1"/>
        </w:numPr>
        <w:tabs>
          <w:tab w:val="clear" w:pos="720"/>
          <w:tab w:val="left" w:pos="0" w:leader="none"/>
        </w:tabs>
        <w:ind w:hanging="720" w:start="720" w:end="0"/>
        <w:rPr/>
      </w:pPr>
      <w:r>
        <w:rPr/>
        <w:t>Non-payment of demand charge under Sell Contract.</w:t>
      </w:r>
    </w:p>
    <w:p>
      <w:pPr>
        <w:pStyle w:val="Normal"/>
        <w:numPr>
          <w:ilvl w:val="0"/>
          <w:numId w:val="1"/>
        </w:numPr>
        <w:tabs>
          <w:tab w:val="clear" w:pos="720"/>
          <w:tab w:val="left" w:pos="0" w:leader="none"/>
        </w:tabs>
        <w:ind w:hanging="720" w:start="720" w:end="0"/>
        <w:rPr/>
      </w:pPr>
      <w:r>
        <w:rPr/>
        <w:t>Non-payment of formulated energy payments under Buy Contract.</w:t>
      </w:r>
    </w:p>
    <w:p>
      <w:pPr>
        <w:pStyle w:val="Normal"/>
        <w:numPr>
          <w:ilvl w:val="0"/>
          <w:numId w:val="1"/>
        </w:numPr>
        <w:tabs>
          <w:tab w:val="clear" w:pos="720"/>
          <w:tab w:val="left" w:pos="0" w:leader="none"/>
        </w:tabs>
        <w:ind w:hanging="360" w:start="720" w:end="0"/>
        <w:rPr/>
      </w:pPr>
      <w:r>
        <w:rPr/>
        <w:t>Non-payment of MTM charges under Sell Contract.</w:t>
      </w:r>
    </w:p>
    <w:p>
      <w:pPr>
        <w:pStyle w:val="Normal"/>
        <w:rPr/>
      </w:pPr>
      <w:r>
        <w:rPr/>
      </w:r>
    </w:p>
    <w:p>
      <w:pPr>
        <w:pStyle w:val="Normal"/>
        <w:rPr/>
      </w:pPr>
      <w:r>
        <w:rPr>
          <w:u w:val="single"/>
        </w:rPr>
        <w:t>The MTM value of the two contracts move in tandem</w:t>
      </w:r>
      <w:r>
        <w:rPr/>
        <w:t xml:space="preserve"> - The MTM valuation of the two contracts should move in tandem and offset each other.  This means one of the risks that must be managed is the possibility of losing one of the contracts without a corresponding MTM payment, thus forcing us to realize the negative value, if any, of the remaining contract.  For reasons discussed below, if the Buy Contracts terminates, then the Sell Contract must also terminate.  A more likely example is the rejection of the Sell Contract by the bankruptcy judge because it is “out of  the money” to CCC while leaving the Buy Contract in place.  If there are no available funds to make the MTM payment, then Enron becomes a secured creditor of CCC.</w:t>
      </w:r>
    </w:p>
    <w:p>
      <w:pPr>
        <w:pStyle w:val="Normal"/>
        <w:rPr/>
      </w:pPr>
      <w:r>
        <w:rPr/>
      </w:r>
    </w:p>
    <w:p>
      <w:pPr>
        <w:pStyle w:val="Normal"/>
        <w:rPr/>
      </w:pPr>
      <w:r>
        <w:rPr>
          <w:u w:val="single"/>
        </w:rPr>
        <w:t>Enron’s hedging activity must focus on the Sell Contract</w:t>
      </w:r>
      <w:r>
        <w:rPr/>
        <w:t xml:space="preserve"> - Even though Enron’s ultimate collateral is the Project, the Sell Contract serves as the offset to the Buy Contract.  If the Sell Contract is terminated, then even though we would lose the match to the Buy Contract, a MTM payment related to the Sell Contract will make us whole.  In the event we are unable to realize the MTM payment, then the hedge value will make us whole.  If we realize both, then we are in great shape.</w:t>
      </w:r>
    </w:p>
    <w:p>
      <w:pPr>
        <w:pStyle w:val="Normal"/>
        <w:rPr/>
      </w:pPr>
      <w:r>
        <w:rPr/>
      </w:r>
    </w:p>
    <w:p>
      <w:pPr>
        <w:pStyle w:val="Normal"/>
        <w:rPr/>
      </w:pPr>
      <w:r>
        <w:rPr/>
        <w:t>Hedging activity is also asymmetric.  As the out of the money valuation from EPMI’s perspective of the Sell Contract increases, we need to undertake hedges.  When the contract value returns to its original position, we must unwind the hedges.</w:t>
      </w:r>
    </w:p>
    <w:p>
      <w:pPr>
        <w:pStyle w:val="Normal"/>
        <w:rPr/>
      </w:pPr>
      <w:r>
        <w:rPr/>
      </w:r>
    </w:p>
    <w:p>
      <w:pPr>
        <w:pStyle w:val="Normal"/>
        <w:rPr/>
      </w:pPr>
      <w:r>
        <w:rPr/>
        <w:t>The overall MTM risk position that needs to be managed is:  collateral value + hedge value + MTM receipts &gt;= Covered Debt + other amounts owed EPMI.</w:t>
      </w:r>
    </w:p>
    <w:p>
      <w:pPr>
        <w:pStyle w:val="Normal"/>
        <w:rPr/>
      </w:pPr>
      <w:r>
        <w:rPr/>
      </w:r>
    </w:p>
    <w:p>
      <w:pPr>
        <w:pStyle w:val="Normal"/>
        <w:rPr/>
      </w:pPr>
      <w:r>
        <w:rPr>
          <w:u w:val="single"/>
        </w:rPr>
        <w:t>Enron must retain the right to terminate the Sell Contract in advance of bankruptcy if all the right conditions are met</w:t>
      </w:r>
      <w:r>
        <w:rPr/>
        <w:t xml:space="preserve"> - Our standard power marketing agreements are designed to pick up distress signals, calculate MTM requirements and terminate so that we know exactly what is owed us in bankruptcy.  This is important because if the project is in distress, this contract is likely “in the money” and subject to rejection by the bankruptcy judge.  The right to terminate only expands our options as the Project enters the bankruptcy phase.</w:t>
      </w:r>
    </w:p>
    <w:p>
      <w:pPr>
        <w:pStyle w:val="Normal"/>
        <w:rPr/>
      </w:pPr>
      <w:r>
        <w:rPr/>
      </w:r>
    </w:p>
    <w:p>
      <w:pPr>
        <w:pStyle w:val="Normal"/>
        <w:rPr/>
      </w:pPr>
      <w:r>
        <w:rPr>
          <w:u w:val="single"/>
        </w:rPr>
        <w:t xml:space="preserve">If the Buy Contract is terminated by the CCC or rejected by the bankruptcy court, the Sell Contract must also terminate </w:t>
      </w:r>
      <w:r>
        <w:rPr/>
        <w:t>- This again is to prevent us from being exposed to MTM without offset.  If CCC terminates the Buy contract for a fixed fee rather then a MTM payment as we have permitted them to do, or the bankruptcy judge rejects the Buy Contract causing MTM payments, then we must be able to terminate the Sell Contract with its offsetting MTM payments.  This also makes sense commercially since the Buy Contract is our value added to the original deal.  Everything else is risk management.</w:t>
      </w:r>
    </w:p>
    <w:p>
      <w:pPr>
        <w:pStyle w:val="Normal"/>
        <w:rPr/>
      </w:pPr>
      <w:r>
        <w:rPr/>
      </w:r>
    </w:p>
    <w:p>
      <w:pPr>
        <w:pStyle w:val="Normal"/>
        <w:rPr/>
      </w:pPr>
      <w:r>
        <w:rPr>
          <w:u w:val="single"/>
        </w:rPr>
        <w:t>Another way to enhance Enron’s leverage is to make MTM payments at termination asymmetric</w:t>
      </w:r>
      <w:r>
        <w:rPr/>
        <w:t xml:space="preserve"> - This means we must craft language such that if we are owed money it must be paid and if we owe we don’t pay.  Is this legally feasible and will it survive challenge?  One compromise would be to permit two-way MTM payments only if we terminate.  The only contract we have the option to terminate is the “Sell Contract”.  Remember, the Sell Contract must automatically terminate if the Buy Contract terminates.</w:t>
      </w:r>
    </w:p>
    <w:p>
      <w:pPr>
        <w:pStyle w:val="Normal"/>
        <w:rPr/>
      </w:pPr>
      <w:r>
        <w:rPr/>
      </w:r>
    </w:p>
    <w:p>
      <w:pPr>
        <w:pStyle w:val="Normal"/>
        <w:rPr/>
      </w:pPr>
      <w:r>
        <w:rPr>
          <w:u w:val="single"/>
        </w:rPr>
        <w:t>Payments should be netted against each other</w:t>
      </w:r>
      <w:r>
        <w:rPr/>
        <w:t xml:space="preserve"> - This means not only the payments owed between the parties within each contract but also payments owed between the two contracts.  This serves to minimize cash exposure to credit events such as bankruptcy.</w:t>
      </w:r>
    </w:p>
    <w:sectPr>
      <w:footerReference w:type="default" r:id="rId2"/>
      <w:type w:val="nextPage"/>
      <w:pgSz w:w="12240" w:h="15840"/>
      <w:pgMar w:left="1800" w:right="1800" w:gutter="0" w:header="0" w:top="1440" w:footer="720" w:bottom="144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ENA/DMB Confidential</w:t>
      <w:tab/>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r>
      <w:rPr>
        <w:rStyle w:val="PageNumber"/>
      </w:rPr>
      <w:tab/>
    </w:r>
    <w:r>
      <w:rPr>
        <w:rStyle w:val="PageNumber"/>
      </w:rPr>
      <w:fldChar w:fldCharType="begin"/>
    </w:r>
    <w:r>
      <w:rPr>
        <w:rStyle w:val="PageNumber"/>
      </w:rPr>
      <w:instrText xml:space="preserve"> DATE \@"M/d/yyyy" </w:instrText>
    </w:r>
    <w:r>
      <w:rPr>
        <w:rStyle w:val="PageNumber"/>
      </w:rPr>
      <w:fldChar w:fldCharType="separate"/>
    </w:r>
    <w:r>
      <w:rPr>
        <w:rStyle w:val="PageNumber"/>
      </w:rPr>
      <w:t>9/28/2025</w:t>
    </w:r>
    <w:r>
      <w:rPr>
        <w:rStyle w:val="PageNumber"/>
      </w:rPr>
      <w:fldChar w:fldCharType="end"/>
    </w:r>
    <w:r>
      <w:rPr>
        <w:rStyle w:val="PageNumber"/>
      </w:rPr>
      <w:t xml:space="preserve"> at </w:t>
    </w:r>
    <w:r>
      <w:rPr>
        <w:rStyle w:val="PageNumber"/>
      </w:rPr>
      <w:fldChar w:fldCharType="begin"/>
    </w:r>
    <w:r>
      <w:rPr>
        <w:rStyle w:val="PageNumber"/>
      </w:rPr>
      <w:instrText xml:space="preserve"> DATE \@"M/d/yyyy" </w:instrText>
    </w:r>
    <w:r>
      <w:rPr>
        <w:rStyle w:val="PageNumber"/>
      </w:rPr>
      <w:fldChar w:fldCharType="separate"/>
    </w:r>
    <w:r>
      <w:rPr>
        <w:rStyle w:val="PageNumber"/>
      </w:rPr>
      <w:t>9/28/2025</w:t>
    </w:r>
    <w:r>
      <w:rPr>
        <w:rStyle w:val="PageNumbe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eastAsia="zh-CN" w:bidi="hi-I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157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1999-12-10T13:10:00Z</dcterms:created>
  <dc:creator>ECT</dc:creator>
  <dc:description/>
  <dc:language>en-CA</dc:language>
  <cp:lastModifiedBy>ECT</cp:lastModifiedBy>
  <cp:lastPrinted>1999-12-10T14:45:00Z</cp:lastPrinted>
  <dcterms:modified xsi:type="dcterms:W3CDTF">1999-12-10T18:47:00Z</dcterms:modified>
  <cp:revision>21</cp:revision>
  <dc:subject/>
  <dc:title>TECO/Mosbacher Delmarva deal</dc:title>
</cp:coreProperties>
</file>