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u w:val="single"/>
        </w:rPr>
      </w:pPr>
      <w:r>
        <w:rPr>
          <w:rFonts w:cs="Arial" w:ascii="Arial" w:hAnsi="Arial"/>
          <w:b/>
          <w:sz w:val="24"/>
          <w:u w:val="single"/>
        </w:rPr>
        <w:t>Enron Proposed Edgecombe  County, NC CT Facility</w:t>
      </w:r>
    </w:p>
    <w:p>
      <w:pPr>
        <w:pStyle w:val="Normal"/>
        <w:jc w:val="center"/>
        <w:rPr>
          <w:rFonts w:ascii="Arial" w:hAnsi="Arial" w:cs="Arial"/>
          <w:sz w:val="24"/>
        </w:rPr>
      </w:pPr>
      <w:r>
        <w:rPr>
          <w:rFonts w:cs="Arial" w:ascii="Arial" w:hAnsi="Arial"/>
          <w:b/>
          <w:sz w:val="24"/>
          <w:u w:val="single"/>
        </w:rPr>
        <w:t>Contract Issues</w:t>
      </w:r>
    </w:p>
    <w:p>
      <w:pPr>
        <w:pStyle w:val="Normal"/>
        <w:jc w:val="center"/>
        <w:rPr>
          <w:rFonts w:ascii="Arial" w:hAnsi="Arial" w:cs="Arial"/>
          <w:b/>
          <w:sz w:val="24"/>
          <w:u w:val="single"/>
        </w:rPr>
      </w:pPr>
      <w:r>
        <w:rPr>
          <w:rFonts w:cs="Arial" w:ascii="Arial" w:hAnsi="Arial"/>
          <w:b/>
          <w:sz w:val="24"/>
          <w:u w:val="single"/>
        </w:rPr>
        <w:t>July 17, 2000</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sz w:val="24"/>
        </w:rPr>
      </w:pPr>
      <w:r>
        <w:rPr>
          <w:rFonts w:cs="Arial" w:ascii="Arial" w:hAnsi="Arial"/>
          <w:sz w:val="24"/>
        </w:rPr>
        <w:t>The following are major issues that will need to be resolved before an agreement can be reached regarding the proposed Edgecombe CT facility:</w:t>
      </w:r>
    </w:p>
    <w:p>
      <w:pPr>
        <w:pStyle w:val="Normal"/>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 xml:space="preserve">1. It is unacceptable to Virginia Power to continue payments for capacity when Seller is unable to deliver Scheduled Energy due to a Seller Force Majeure.  </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2. Virginia Power will not make monthly payments for Capacity in advance.</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3. Scheduled outages must be coordinated in advance with Virginia Power and may not be conducted during the periods June through September and January and February.</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4.  If the Agreement is terminated pursuant to Section 2.1 and the Facility is subsequently placed in operation before what would have otherwise been the end of the term of the Agreement, then, Virginia Power shall have a right of first refusal to purchase the Facility's capacity and energy under the terms and conditions set forth in the Agreement.</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5.   Excluding scheduled outages, the guaranteed equivalent availability factor (EAF) shall not be less than 97%.  There must be seasonal weighting to reflect need for high peak period EAF with some capacity price adjustment for performance below the guaranteed EAF.</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6.  The term of the Agreement shall not be longer than 12/31/2003 unless Seller is willing to consider a reduction in the capacity price.</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7.  Seller shall provide Virginia Power notice within [   ] hours after receipt of a Schedule from Virginia Power whether or not energy will be supplied from the Facility or from some other source.</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8.  Seller shall not change Delivery Points during a Schedule unless the delivery of Energy to or receipt of Energy from such Delivery Point is impeded by reasons beyond Seller's control.</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9. Energy supplied from other sources must be capacity backed.</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10. Seller will have to execute and perform in accordance with a Generator Interconnection Agreement to be negotiated later.  A draft copy of such agreement will be provided later.</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11.  The Agreement will need to be more definitive with respect to the definition of "into VP " product for deliveries from Market Sources.</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12.  Due to the short term, a change in law provision is not appropriate for this Agreement.</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 xml:space="preserve">13.  Virginia Power prefers the elimination of the arbitration provision. </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14.  The price proposed is based on an actual power station being built, and is NOT an “Into VP – Firm Energy” product. Will the Station be capable of producing 192 MW during peak summer conditions? If not this station, there needs to be a station somewhere with firm transmission delivery to VP.</w:t>
      </w:r>
    </w:p>
    <w:p>
      <w:pPr>
        <w:pStyle w:val="Normal"/>
        <w:ind w:firstLine="720" w:end="0"/>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 xml:space="preserve">15.  Facility Outages, unless caused by an event of Force Majeure, are not an Event of Force Majuere.   </w:t>
      </w:r>
    </w:p>
    <w:p>
      <w:pPr>
        <w:pStyle w:val="Normal"/>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t>16. The Energy price appears to double count LDC gas delivery (delivered gas has firm transport added to it and the gas index also includes a $.97 adder)</w:t>
      </w:r>
    </w:p>
    <w:p>
      <w:pPr>
        <w:pStyle w:val="Normal"/>
        <w:rPr>
          <w:rFonts w:ascii="Arial" w:hAnsi="Arial" w:cs="Arial"/>
          <w:sz w:val="24"/>
        </w:rPr>
      </w:pPr>
      <w:r>
        <w:rPr>
          <w:rFonts w:cs="Arial" w:ascii="Arial" w:hAnsi="Arial"/>
          <w:sz w:val="24"/>
        </w:rPr>
      </w:r>
    </w:p>
    <w:p>
      <w:pPr>
        <w:pStyle w:val="Normal"/>
        <w:ind w:firstLine="720" w:end="0"/>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2000-07-17T14:54:00Z</dcterms:created>
  <dc:creator>Corporate Center</dc:creator>
  <dc:description/>
  <dc:language>en-CA</dc:language>
  <cp:lastModifiedBy>Corporate Center</cp:lastModifiedBy>
  <cp:lastPrinted>2000-07-17T15:35:00Z</cp:lastPrinted>
  <dcterms:modified xsi:type="dcterms:W3CDTF">2000-07-17T18:46:00Z</dcterms:modified>
  <cp:revision>14</cp:revision>
  <dc:subject/>
  <dc:title/>
</cp:coreProperties>
</file>