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b/>
          <w:sz w:val="20"/>
        </w:rPr>
      </w:pPr>
      <w:r>
        <w:rPr>
          <w:b/>
          <w:sz w:val="20"/>
        </w:rPr>
      </w:r>
    </w:p>
    <w:p>
      <w:pPr>
        <w:pStyle w:val="Normal"/>
        <w:spacing w:lineRule="atLeast" w:line="240"/>
        <w:jc w:val="both"/>
        <w:rPr/>
      </w:pPr>
      <w:r>
        <w:rPr>
          <w:bCs/>
        </w:rPr>
        <w:t>THIS CONTRACT IS A SAMPLE FORM OF CONTRACT ONLY AND DOES NOT INCLUDE</w:t>
      </w:r>
      <w:r>
        <w:rPr>
          <w:b/>
        </w:rPr>
        <w:t xml:space="preserve"> </w:t>
      </w:r>
      <w:r>
        <w:rPr/>
        <w:t>ALL PROVISIONS THAT ARE NECESSARY TO IMPLEMENT TRANSACTIONS.  THIS SAMPLE CONTRACT WILL BE MODIFIED UPON CREDIT REVIEW OF COUNTERPARTY AND TYPE OF LEGAL ENTITY INVOLVED.  THIS SAMPLE CONTRACT IS PRESENTED FOR DISCUSSION PURPOSES ONLY AND MAY NOT BE EXECUTED FOR ANY PURPOSE.</w:t>
      </w:r>
    </w:p>
    <w:p>
      <w:pPr>
        <w:sectPr>
          <w:headerReference w:type="default" r:id="rId2"/>
          <w:type w:val="nextPage"/>
          <w:pgSz w:w="12240" w:h="15840"/>
          <w:pgMar w:left="1152" w:right="864" w:gutter="0" w:header="720" w:top="864" w:footer="0" w:bottom="864"/>
          <w:pgNumType w:fmt="decimal"/>
          <w:formProt w:val="false"/>
          <w:textDirection w:val="lrTb"/>
          <w:docGrid w:type="default" w:linePitch="360" w:charSpace="0"/>
        </w:sectPr>
      </w:pPr>
    </w:p>
    <w:p>
      <w:pPr>
        <w:pStyle w:val="Normal"/>
        <w:ind w:start="720" w:end="0"/>
        <w:rPr/>
      </w:pPr>
      <w:r>
        <w:rPr/>
        <w:tab/>
        <w:tab/>
      </w:r>
    </w:p>
    <w:p>
      <w:pPr>
        <w:sectPr>
          <w:type w:val="continuous"/>
          <w:pgSz w:w="12240" w:h="15840"/>
          <w:pgMar w:left="1152" w:right="864" w:gutter="0" w:header="720" w:top="864" w:footer="0" w:bottom="864"/>
          <w:cols w:num="2" w:space="108" w:equalWidth="true" w:sep="false"/>
          <w:formProt w:val="false"/>
          <w:textDirection w:val="lrTb"/>
          <w:docGrid w:type="default" w:linePitch="360" w:charSpace="0"/>
        </w:sectPr>
      </w:pP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jc w:val="center"/>
        <w:rPr>
          <w:b/>
          <w:sz w:val="22"/>
        </w:rPr>
      </w:pPr>
      <w:r>
        <w:rPr>
          <w:b/>
          <w:sz w:val="22"/>
          <w:u w:val="single"/>
        </w:rPr>
        <w:t>CONFIRMATION OF AN OPTION</w:t>
      </w:r>
    </w:p>
    <w:p>
      <w:pPr>
        <w:pStyle w:val="Normal"/>
        <w:jc w:val="center"/>
        <w:rPr>
          <w:b/>
          <w:sz w:val="22"/>
        </w:rPr>
      </w:pPr>
      <w:r>
        <w:rPr>
          <w:b/>
          <w:sz w:val="22"/>
        </w:rPr>
        <w:t>(Contingent Call)</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(“ENA”)</w:t>
      </w:r>
    </w:p>
    <w:p>
      <w:pPr>
        <w:pStyle w:val="Normal"/>
        <w:rPr>
          <w:sz w:val="22"/>
        </w:rPr>
      </w:pPr>
      <w:r>
        <w:rPr>
          <w:sz w:val="22"/>
        </w:rPr>
        <w:t>Re:</w:t>
        <w:tab/>
        <w:tab/>
        <w:tab/>
        <w:tab/>
        <w:t xml:space="preserve">Contingent Call Option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rPr>
          <w:sz w:val="22"/>
        </w:rPr>
      </w:pPr>
      <w:r>
        <w:rPr>
          <w:sz w:val="22"/>
        </w:rPr>
      </w:r>
    </w:p>
    <w:p>
      <w:pPr>
        <w:pStyle w:val="BodyText2"/>
        <w:rPr/>
      </w:pPr>
      <w:r>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b/>
          <w:sz w:val="22"/>
        </w:rPr>
      </w:pPr>
      <w:r>
        <w:rPr>
          <w:b/>
          <w:sz w:val="22"/>
        </w:rPr>
      </w:r>
    </w:p>
    <w:p>
      <w:pPr>
        <w:pStyle w:val="Normal"/>
        <w:rPr>
          <w:b/>
          <w:sz w:val="22"/>
        </w:rPr>
      </w:pPr>
      <w:r>
        <w:rPr>
          <w:b/>
          <w:sz w:val="22"/>
        </w:rPr>
        <w:t>Transaction Terms for Contingent Call Option:</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Electricity</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MWh (Megawatt hours)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Option Type:</w:t>
              <w:tab/>
            </w:r>
          </w:p>
        </w:tc>
        <w:tc>
          <w:tcPr>
            <w:tcW w:w="6102" w:type="dxa"/>
            <w:tcBorders/>
          </w:tcPr>
          <w:p>
            <w:pPr>
              <w:pStyle w:val="Normal"/>
              <w:rPr>
                <w:sz w:val="22"/>
              </w:rPr>
            </w:pPr>
            <w:r>
              <w:rPr/>
              <w:t>Contingent Call Option</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Option</w:t>
              <w:tab/>
              <w:t>Seller:</w:t>
            </w:r>
          </w:p>
        </w:tc>
        <w:tc>
          <w:tcPr>
            <w:tcW w:w="6102" w:type="dxa"/>
            <w:tcBorders/>
          </w:tcPr>
          <w:p>
            <w:pPr>
              <w:pStyle w:val="Normal"/>
              <w:jc w:val="both"/>
              <w:rPr>
                <w:sz w:val="22"/>
              </w:rPr>
            </w:pPr>
            <w:r>
              <w:rPr>
                <w:sz w:val="22"/>
              </w:rPr>
              <w:t>ENA</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Option Buyer:</w:t>
              <w:tab/>
            </w:r>
          </w:p>
        </w:tc>
        <w:tc>
          <w:tcPr>
            <w:tcW w:w="6102" w:type="dxa"/>
            <w:tcBorders/>
          </w:tcPr>
          <w:p>
            <w:pPr>
              <w:pStyle w:val="Normal"/>
              <w:jc w:val="both"/>
              <w:rPr>
                <w:sz w:val="22"/>
              </w:rPr>
            </w:pPr>
            <w:r>
              <w:rPr>
                <w:sz w:val="22"/>
              </w:rPr>
              <w:t>Counterparty</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Aggregate Payout Limit:</w:t>
            </w:r>
          </w:p>
        </w:tc>
        <w:tc>
          <w:tcPr>
            <w:tcW w:w="6102" w:type="dxa"/>
            <w:tcBorders/>
          </w:tcPr>
          <w:p>
            <w:pPr>
              <w:pStyle w:val="Normal"/>
              <w:jc w:val="both"/>
              <w:rPr>
                <w:sz w:val="22"/>
              </w:rPr>
            </w:pPr>
            <w:r>
              <w:rPr>
                <w:sz w:val="22"/>
              </w:rPr>
              <w:t xml:space="preserve">[____]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Total Premium:</w:t>
              <w:tab/>
            </w:r>
          </w:p>
        </w:tc>
        <w:tc>
          <w:tcPr>
            <w:tcW w:w="6102" w:type="dxa"/>
            <w:tcBorders/>
          </w:tcPr>
          <w:p>
            <w:pPr>
              <w:pStyle w:val="Normal"/>
              <w:jc w:val="both"/>
              <w:rPr/>
            </w:pPr>
            <w:r>
              <w:rPr>
                <w:sz w:val="22"/>
              </w:rPr>
              <w:fldChar w:fldCharType="begin"/>
            </w:r>
            <w:r>
              <w:rPr>
                <w:sz w:val="22"/>
              </w:rPr>
              <w:instrText xml:space="preserve"> MERGEFIELD OptionPremiumAmt </w:instrText>
            </w:r>
            <w:r>
              <w:rPr>
                <w:sz w:val="22"/>
              </w:rPr>
              <w:fldChar w:fldCharType="separate"/>
            </w:r>
            <w:r>
              <w:rPr>
                <w:sz w:val="22"/>
              </w:rPr>
              <w:t>«OptionPremiumAmt»</w:t>
            </w:r>
            <w:r>
              <w:rPr>
                <w:sz w:val="22"/>
              </w:rPr>
              <w:fldChar w:fldCharType="end"/>
            </w:r>
            <w:r>
              <w:rPr>
                <w:sz w:val="22"/>
              </w:rPr>
              <w:t xml:space="preserve"> </w:t>
            </w:r>
            <w:r>
              <w:rPr>
                <w:sz w:val="22"/>
              </w:rPr>
              <w:t>due Seller</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Premium Payment Date(s):</w:t>
              <w:tab/>
            </w:r>
          </w:p>
        </w:tc>
        <w:tc>
          <w:tcPr>
            <w:tcW w:w="6102" w:type="dxa"/>
            <w:tcBorders/>
          </w:tcPr>
          <w:p>
            <w:pPr>
              <w:pStyle w:val="Normal"/>
              <w:jc w:val="both"/>
              <w:rPr>
                <w:sz w:val="22"/>
              </w:rPr>
            </w:pPr>
            <w:r>
              <w:rPr>
                <w:sz w:val="22"/>
              </w:rPr>
              <w:fldChar w:fldCharType="begin"/>
            </w:r>
            <w:r>
              <w:rPr>
                <w:sz w:val="22"/>
              </w:rPr>
              <w:instrText xml:space="preserve"> MERGEFIELD OptionPremiumDate </w:instrText>
            </w:r>
            <w:r>
              <w:rPr>
                <w:sz w:val="22"/>
              </w:rPr>
              <w:fldChar w:fldCharType="separate"/>
            </w:r>
            <w:r>
              <w:rPr>
                <w:sz w:val="22"/>
              </w:rPr>
              <w:t>«OptionPremiumDate»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Automatic Exercise:</w:t>
            </w:r>
          </w:p>
        </w:tc>
        <w:tc>
          <w:tcPr>
            <w:tcW w:w="6102" w:type="dxa"/>
            <w:tcBorders/>
          </w:tcPr>
          <w:p>
            <w:pPr>
              <w:pStyle w:val="Normal"/>
              <w:jc w:val="both"/>
              <w:rPr>
                <w:sz w:val="22"/>
              </w:rPr>
            </w:pPr>
            <w:r>
              <w:rPr>
                <w:sz w:val="22"/>
              </w:rPr>
              <w:t>Applicable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start="720" w:end="0"/>
              <w:rPr>
                <w:sz w:val="22"/>
              </w:rPr>
            </w:pPr>
            <w:r>
              <w:rPr>
                <w:sz w:val="22"/>
              </w:rPr>
              <w:t xml:space="preserve">Exercise Period: </w:t>
            </w:r>
          </w:p>
        </w:tc>
        <w:tc>
          <w:tcPr>
            <w:tcW w:w="6102" w:type="dxa"/>
            <w:tcBorders/>
          </w:tcPr>
          <w:p>
            <w:pPr>
              <w:pStyle w:val="Normal"/>
              <w:rPr>
                <w:sz w:val="22"/>
              </w:rPr>
            </w:pPr>
            <w:r>
              <w:rPr>
                <w:sz w:val="22"/>
              </w:rPr>
              <w:t>Inapplicable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Written Confirmation:</w:t>
              <w:tab/>
            </w:r>
          </w:p>
        </w:tc>
        <w:tc>
          <w:tcPr>
            <w:tcW w:w="6102" w:type="dxa"/>
            <w:tcBorders/>
          </w:tcPr>
          <w:p>
            <w:pPr>
              <w:pStyle w:val="Normal"/>
              <w:jc w:val="both"/>
              <w:rPr>
                <w:sz w:val="22"/>
              </w:rPr>
            </w:pPr>
            <w:r>
              <w:rPr>
                <w:sz w:val="22"/>
              </w:rPr>
              <w:t>Inapplicable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Up to [____] MWh per hour in excess of the Capacity Strike Amount for each On-Peak Hour for each Delivery Day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From the Effective Date through the Termination Date.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bCs/>
                <w:sz w:val="22"/>
              </w:rPr>
              <w:t>Periodic payments shall be made during each Determinaton Period as follows:</w:t>
            </w:r>
            <w:r>
              <w:rPr>
                <w:b/>
                <w:sz w:val="22"/>
              </w:rPr>
              <w:t xml:space="preserve"> </w:t>
            </w:r>
            <w:r>
              <w:rPr>
                <w:sz w:val="22"/>
              </w:rPr>
              <w:t>30 days after the end of each calendar month during the Determination Period or 30 days after submission of the Settlement Data for such calendar month, whichever is later.</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Strike Price:</w:t>
            </w:r>
          </w:p>
        </w:tc>
        <w:tc>
          <w:tcPr>
            <w:tcW w:w="6102" w:type="dxa"/>
            <w:tcBorders/>
          </w:tcPr>
          <w:p>
            <w:pPr>
              <w:pStyle w:val="Normal"/>
              <w:jc w:val="both"/>
              <w:rPr>
                <w:sz w:val="22"/>
              </w:rPr>
            </w:pPr>
            <w:r>
              <w:rPr/>
              <w:t>[US Dollars $________/MWh] or [Index]</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t xml:space="preserve">Index plus the Hub Basis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Payout Calculation:</w:t>
            </w:r>
          </w:p>
        </w:tc>
        <w:tc>
          <w:tcPr>
            <w:tcW w:w="6102" w:type="dxa"/>
            <w:tcBorders/>
          </w:tcPr>
          <w:p>
            <w:pPr>
              <w:pStyle w:val="Normal"/>
              <w:jc w:val="both"/>
              <w:rPr>
                <w:sz w:val="22"/>
              </w:rPr>
            </w:pPr>
            <w:r>
              <w:rPr/>
              <w:t>If during any On-Peak Hour of a Delivery Day (I) a Knock-In-Event occurs or is continuing, and (II) the Floating Price is greater than the Strike Price, then, for every On-Peak Hour of each Delivery Day while such conditions persist, the product of (A) the positive difference between the Floating Price and the Strike Price, and (B) the Knock-In Outage Amount, shall be included in the Payout Calculation.</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pPr>
            <w:r>
              <w:rPr/>
            </w:r>
          </w:p>
        </w:tc>
      </w:tr>
      <w:tr>
        <w:trPr/>
        <w:tc>
          <w:tcPr>
            <w:tcW w:w="4338" w:type="dxa"/>
            <w:tcBorders/>
          </w:tcPr>
          <w:p>
            <w:pPr>
              <w:pStyle w:val="Normal"/>
              <w:ind w:start="720" w:end="0"/>
              <w:rPr>
                <w:sz w:val="22"/>
              </w:rPr>
            </w:pPr>
            <w:r>
              <w:rPr>
                <w:sz w:val="22"/>
              </w:rPr>
              <w:t>Cash Settlement Amount:</w:t>
            </w:r>
          </w:p>
        </w:tc>
        <w:tc>
          <w:tcPr>
            <w:tcW w:w="6102" w:type="dxa"/>
            <w:tcBorders/>
          </w:tcPr>
          <w:p>
            <w:pPr>
              <w:pStyle w:val="Normal"/>
              <w:jc w:val="both"/>
              <w:rPr>
                <w:sz w:val="22"/>
              </w:rPr>
            </w:pPr>
            <w:r>
              <w:rPr/>
              <w:t>For each calendar month during the Determination Period the Seller shall pay the Buyer an amount equal to [X percent of] the amount by which the Payout Calculation for such calendar month exceeds the Payout Strike, provided, however, that the sum of the Cash Settlement Amounts for the Determination Period shall not exceed the Aggregate Payout Limit.</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Index:</w:t>
              <w:tab/>
            </w:r>
          </w:p>
        </w:tc>
        <w:tc>
          <w:tcPr>
            <w:tcW w:w="6102" w:type="dxa"/>
            <w:tcBorders/>
          </w:tcPr>
          <w:p>
            <w:pPr>
              <w:pStyle w:val="Normal"/>
              <w:jc w:val="both"/>
              <w:rPr>
                <w:sz w:val="22"/>
              </w:rPr>
            </w:pPr>
            <w:r>
              <w:rPr/>
              <w:t xml:space="preserve">The “Weighted Average Index” price at the [Index] delivery point under the heading “Trades for Standard 16-Hour Daily Products” as reported in Megawatt Daily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Delivery Point:</w:t>
            </w:r>
          </w:p>
        </w:tc>
        <w:tc>
          <w:tcPr>
            <w:tcW w:w="6102" w:type="dxa"/>
            <w:tcBorders/>
          </w:tcPr>
          <w:p>
            <w:pPr>
              <w:pStyle w:val="Normal"/>
              <w:jc w:val="both"/>
              <w:rPr>
                <w:sz w:val="22"/>
              </w:rPr>
            </w:pPr>
            <w:r>
              <w:rPr/>
              <w:t>[control area]</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Covered Units:</w:t>
            </w:r>
          </w:p>
        </w:tc>
        <w:tc>
          <w:tcPr>
            <w:tcW w:w="6102" w:type="dxa"/>
            <w:tcBorders/>
          </w:tcPr>
          <w:p>
            <w:pPr>
              <w:pStyle w:val="Normal"/>
              <w:jc w:val="both"/>
              <w:rPr>
                <w:sz w:val="22"/>
              </w:rPr>
            </w:pPr>
            <w:r>
              <w:rPr/>
              <w:t>[List, including Net Dependable Capacity]</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Outage Duration Limit:</w:t>
            </w:r>
          </w:p>
        </w:tc>
        <w:tc>
          <w:tcPr>
            <w:tcW w:w="6102" w:type="dxa"/>
            <w:tcBorders/>
          </w:tcPr>
          <w:p>
            <w:pPr>
              <w:pStyle w:val="Normal"/>
              <w:jc w:val="both"/>
              <w:rPr>
                <w:sz w:val="22"/>
              </w:rPr>
            </w:pPr>
            <w:r>
              <w:rPr/>
              <w:t>[_______] On-Peak Hours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Capacity Strike Amount:</w:t>
            </w:r>
          </w:p>
        </w:tc>
        <w:tc>
          <w:tcPr>
            <w:tcW w:w="6102" w:type="dxa"/>
            <w:tcBorders/>
          </w:tcPr>
          <w:p>
            <w:pPr>
              <w:pStyle w:val="Normal"/>
              <w:jc w:val="both"/>
              <w:rPr>
                <w:sz w:val="22"/>
              </w:rPr>
            </w:pPr>
            <w:r>
              <w:rPr/>
              <w:t>[___] MWh for each On-Peak Hour for each Delivery Day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Payout Strike:</w:t>
            </w:r>
          </w:p>
        </w:tc>
        <w:tc>
          <w:tcPr>
            <w:tcW w:w="6102" w:type="dxa"/>
            <w:tcBorders/>
          </w:tcPr>
          <w:p>
            <w:pPr>
              <w:pStyle w:val="Normal"/>
              <w:jc w:val="both"/>
              <w:rPr>
                <w:sz w:val="22"/>
              </w:rPr>
            </w:pPr>
            <w:r>
              <w:rPr/>
              <w:t>[default zero]</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«CurrencyDesc»</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b/>
                <w:bCs/>
                <w:sz w:val="22"/>
              </w:rPr>
            </w:pPr>
            <w:r>
              <w:rPr>
                <w:b/>
                <w:bCs/>
                <w:sz w:val="22"/>
              </w:rPr>
              <w:t xml:space="preserve">Rounding.  </w:t>
            </w:r>
          </w:p>
          <w:p>
            <w:pPr>
              <w:pStyle w:val="Normal"/>
              <w:jc w:val="both"/>
              <w:rPr>
                <w:b/>
                <w:bCs/>
                <w:sz w:val="22"/>
              </w:rPr>
            </w:pPr>
            <w:r>
              <w:rPr>
                <w:b/>
                <w:bCs/>
                <w:sz w:val="22"/>
              </w:rPr>
            </w:r>
          </w:p>
          <w:p>
            <w:pPr>
              <w:pStyle w:val="BodyTextIndent"/>
              <w:rPr/>
            </w:pPr>
            <w:r>
              <w:rPr/>
              <w:t>For purposes of the calculation of the Floating Price all numbers shall be rounded to three (3) decimal places.  If the number after the final number is five (5) or greater then the final number shall be increased by one (1), and if the number after the final number is less than five (5) then the final number shall remain unchanged.</w:t>
            </w:r>
          </w:p>
          <w:p>
            <w:pPr>
              <w:pStyle w:val="Normal"/>
              <w:jc w:val="both"/>
              <w:rPr>
                <w:sz w:val="22"/>
              </w:rPr>
            </w:pPr>
            <w:r>
              <w:rPr>
                <w:sz w:val="22"/>
              </w:rPr>
            </w:r>
          </w:p>
          <w:p>
            <w:pPr>
              <w:pStyle w:val="Normal"/>
              <w:spacing w:lineRule="exact" w:line="240"/>
              <w:jc w:val="both"/>
              <w:rPr>
                <w:sz w:val="22"/>
              </w:rPr>
            </w:pPr>
            <w:r>
              <w:rPr>
                <w:b/>
                <w:sz w:val="22"/>
              </w:rPr>
              <w:t>Definitions.</w:t>
            </w:r>
          </w:p>
          <w:p>
            <w:pPr>
              <w:pStyle w:val="Normal"/>
              <w:ind w:start="720" w:end="0"/>
              <w:jc w:val="both"/>
              <w:rPr>
                <w:sz w:val="22"/>
              </w:rPr>
            </w:pPr>
            <w:r>
              <w:rPr>
                <w:sz w:val="22"/>
              </w:rPr>
            </w:r>
          </w:p>
          <w:p>
            <w:pPr>
              <w:pStyle w:val="Normal"/>
              <w:ind w:start="720" w:end="0"/>
              <w:jc w:val="both"/>
              <w:rPr/>
            </w:pPr>
            <w:r>
              <w:rPr>
                <w:b/>
                <w:sz w:val="22"/>
              </w:rPr>
              <w:t>Aggregate Payout Limit</w:t>
            </w:r>
            <w:r>
              <w:rPr>
                <w:sz w:val="22"/>
              </w:rPr>
              <w:t xml:space="preserve"> is the maximum possible Cash Settlement Amount that will be paid under this Contract.</w:t>
            </w:r>
          </w:p>
          <w:p>
            <w:pPr>
              <w:pStyle w:val="Normal"/>
              <w:ind w:start="720" w:end="0"/>
              <w:jc w:val="both"/>
              <w:rPr>
                <w:b/>
                <w:sz w:val="22"/>
              </w:rPr>
            </w:pPr>
            <w:r>
              <w:rPr>
                <w:b/>
                <w:sz w:val="22"/>
              </w:rPr>
            </w:r>
          </w:p>
          <w:p>
            <w:pPr>
              <w:pStyle w:val="Normal"/>
              <w:ind w:start="720" w:end="0"/>
              <w:jc w:val="both"/>
              <w:rPr>
                <w:b/>
                <w:sz w:val="22"/>
              </w:rPr>
            </w:pPr>
            <w:r>
              <w:rPr>
                <w:b/>
                <w:sz w:val="22"/>
              </w:rPr>
              <w:t>Capacity Outage Amount</w:t>
            </w:r>
            <w:r>
              <w:rPr>
                <w:sz w:val="22"/>
              </w:rPr>
              <w:t xml:space="preserve"> is the generation capacity, measured in MWh for each On-Peak Hour for each delivery day during the Determination Period, lost in respect of a Covered Unit or Covered Units due to an Unplanned Outage.  The Capacity Outage Amount will be based on the Net Dependable Capacity for the Covered Unit.</w:t>
            </w:r>
          </w:p>
          <w:p>
            <w:pPr>
              <w:pStyle w:val="Normal"/>
              <w:ind w:start="720" w:end="0"/>
              <w:jc w:val="both"/>
              <w:rPr>
                <w:b/>
                <w:sz w:val="22"/>
              </w:rPr>
            </w:pPr>
            <w:r>
              <w:rPr>
                <w:b/>
                <w:sz w:val="22"/>
              </w:rPr>
            </w:r>
          </w:p>
          <w:p>
            <w:pPr>
              <w:pStyle w:val="Normal"/>
              <w:ind w:start="720" w:end="0"/>
              <w:jc w:val="both"/>
              <w:rPr/>
            </w:pPr>
            <w:r>
              <w:rPr>
                <w:b/>
                <w:sz w:val="22"/>
              </w:rPr>
              <w:t>Delivery Day</w:t>
            </w:r>
            <w:r>
              <w:rPr>
                <w:sz w:val="22"/>
              </w:rPr>
              <w:t xml:space="preserve"> means a day during the term of the transaction that is a Monday, Tuesday, Wednesday, Thursday or Friday, excluding any day that is a NERC Holiday.</w:t>
            </w:r>
          </w:p>
          <w:p>
            <w:pPr>
              <w:pStyle w:val="Normal"/>
              <w:ind w:start="720" w:end="0"/>
              <w:jc w:val="both"/>
              <w:rPr>
                <w:sz w:val="22"/>
              </w:rPr>
            </w:pPr>
            <w:r>
              <w:rPr>
                <w:sz w:val="22"/>
              </w:rPr>
            </w:r>
          </w:p>
          <w:p>
            <w:pPr>
              <w:pStyle w:val="Normal"/>
              <w:ind w:start="720" w:end="0"/>
              <w:jc w:val="both"/>
              <w:rPr/>
            </w:pPr>
            <w:r>
              <w:rPr>
                <w:b/>
                <w:sz w:val="22"/>
              </w:rPr>
              <w:t>Excluded Outages</w:t>
            </w:r>
            <w:r>
              <w:rPr>
                <w:sz w:val="22"/>
              </w:rPr>
              <w:t xml:space="preserve"> are generation outage events caused by the following: (a) the gross negligence, willful misconduct, fraud or infidelity of either (i) Buyer or its employees, or (ii) the owner of any Covered Unit or its employees; or (b) compliance with any state or federal environmental laws or regulations.  Outage of a Covered Unit otherwise meeting the definition of an Unplanned Outages that is caused by or results from (either directly or indirectly) Force Majeure is an Excluded Outage, even if the Force Majeure event is not the immediate proximate cause of the outage.</w:t>
            </w:r>
          </w:p>
          <w:p>
            <w:pPr>
              <w:pStyle w:val="Normal"/>
              <w:ind w:start="720" w:end="0"/>
              <w:jc w:val="both"/>
              <w:rPr>
                <w:sz w:val="22"/>
              </w:rPr>
            </w:pPr>
            <w:r>
              <w:rPr>
                <w:sz w:val="22"/>
              </w:rPr>
            </w:r>
          </w:p>
          <w:p>
            <w:pPr>
              <w:pStyle w:val="Normal"/>
              <w:ind w:start="720" w:end="0"/>
              <w:jc w:val="both"/>
              <w:rPr/>
            </w:pPr>
            <w:r>
              <w:rPr>
                <w:b/>
                <w:sz w:val="22"/>
              </w:rPr>
              <w:t>Force Majeure</w:t>
            </w:r>
            <w:r>
              <w:rPr>
                <w:sz w:val="22"/>
              </w:rPr>
              <w:t xml:space="preserve"> means any of the following events as determined by ENA in its sole discretion:  any flood, earth movement, riot, civil disturbance, sabotage, terrorism, act of the public enemy, war, strike or labor disputes, any official governmental court, regulatory or control area order proceeding or action.</w:t>
            </w:r>
          </w:p>
          <w:p>
            <w:pPr>
              <w:pStyle w:val="Normal"/>
              <w:ind w:start="720" w:end="0"/>
              <w:jc w:val="both"/>
              <w:rPr>
                <w:sz w:val="22"/>
              </w:rPr>
            </w:pPr>
            <w:r>
              <w:rPr>
                <w:sz w:val="22"/>
              </w:rPr>
            </w:r>
          </w:p>
          <w:p>
            <w:pPr>
              <w:pStyle w:val="Normal"/>
              <w:ind w:start="720" w:end="0"/>
              <w:jc w:val="both"/>
              <w:rPr/>
            </w:pPr>
            <w:r>
              <w:rPr>
                <w:b/>
                <w:sz w:val="22"/>
              </w:rPr>
              <w:t>Hub Basis</w:t>
            </w:r>
            <w:r>
              <w:rPr>
                <w:sz w:val="22"/>
              </w:rPr>
              <w:t xml:space="preserve"> is, the weighted average cost per MWh of Known Trades that exceed the Strike Price at the Delivery Point minus </w:t>
            </w:r>
            <w:r>
              <w:rPr/>
              <w:t>the “Weighted Average Index” price at the [Index] delivery point under the heading “Trades for Standard 16-Hour Daily Products” as reported in Megawatt Daily</w:t>
            </w:r>
            <w:r>
              <w:rPr>
                <w:sz w:val="22"/>
              </w:rPr>
              <w:t xml:space="preserve"> during the same period.  If there are no Known Trades at the Delivery Point that exceed the Strike Price then the Hub Basis shall be $0 (zero dollars).</w:t>
            </w:r>
          </w:p>
          <w:p>
            <w:pPr>
              <w:pStyle w:val="Normal"/>
              <w:ind w:start="720" w:end="0"/>
              <w:jc w:val="both"/>
              <w:rPr>
                <w:sz w:val="22"/>
              </w:rPr>
            </w:pPr>
            <w:r>
              <w:rPr>
                <w:sz w:val="22"/>
              </w:rPr>
            </w:r>
          </w:p>
          <w:p>
            <w:pPr>
              <w:pStyle w:val="Normal"/>
              <w:ind w:start="720" w:end="0"/>
              <w:jc w:val="both"/>
              <w:rPr/>
            </w:pPr>
            <w:r>
              <w:rPr>
                <w:b/>
                <w:sz w:val="22"/>
              </w:rPr>
              <w:t>Knock-in-Event</w:t>
            </w:r>
            <w:r>
              <w:rPr>
                <w:sz w:val="22"/>
              </w:rPr>
              <w:t xml:space="preserve"> occurs when the Capacity Outage Amount exceeds the Capacity Strike Amount during an Unplanned Outage that occurs during a Determination Period.  A Knock-In Event begins at the earlier of (i) the top of the hour following the hour in which the Capacity Outage Amount first exceeds the Capacity Strike Amount, if the Unplanned Outage commenced during a Determination Period, or (ii) the top of the first hour of the Determination Period, if the Unplanned Outage commenced prior to a Determination Period. A Knock-In Event ends at the earlier of (i) the top of the hour following the first hour in which the Capacity Outage Amount no longer exceeds the Capacity Strike Amount, or (ii) Termination Date.  More than one Knock-In-Event may occur during the Determination Period.  </w:t>
            </w:r>
          </w:p>
          <w:p>
            <w:pPr>
              <w:pStyle w:val="Normal"/>
              <w:ind w:start="720" w:end="0"/>
              <w:jc w:val="both"/>
              <w:rPr>
                <w:sz w:val="22"/>
              </w:rPr>
            </w:pPr>
            <w:r>
              <w:rPr>
                <w:sz w:val="22"/>
              </w:rPr>
            </w:r>
          </w:p>
          <w:p>
            <w:pPr>
              <w:pStyle w:val="Normal"/>
              <w:ind w:start="720" w:end="0"/>
              <w:jc w:val="both"/>
              <w:rPr/>
            </w:pPr>
            <w:r>
              <w:rPr>
                <w:b/>
                <w:sz w:val="22"/>
              </w:rPr>
              <w:t>Knock In Outage Amount</w:t>
            </w:r>
            <w:r>
              <w:rPr>
                <w:sz w:val="22"/>
              </w:rPr>
              <w:t xml:space="preserve"> is the amount by which the Capacity Outage Amount exceeds the Capacity Strike Amount.  For the purposes of calculating the Cash Settlement Amount, in no event shall the Knock-In Outage Amount exceed the Notional Quantity Per Determination Period.</w:t>
            </w:r>
          </w:p>
          <w:p>
            <w:pPr>
              <w:pStyle w:val="Normal"/>
              <w:ind w:start="720" w:end="0"/>
              <w:jc w:val="both"/>
              <w:rPr>
                <w:sz w:val="22"/>
              </w:rPr>
            </w:pPr>
            <w:r>
              <w:rPr>
                <w:sz w:val="22"/>
              </w:rPr>
            </w:r>
          </w:p>
          <w:p>
            <w:pPr>
              <w:pStyle w:val="Normal"/>
              <w:ind w:start="720" w:end="0"/>
              <w:jc w:val="both"/>
              <w:rPr/>
            </w:pPr>
            <w:r>
              <w:rPr>
                <w:b/>
                <w:sz w:val="22"/>
              </w:rPr>
              <w:t>Known Trades</w:t>
            </w:r>
            <w:r>
              <w:rPr>
                <w:sz w:val="22"/>
              </w:rPr>
              <w:t xml:space="preserve"> are hourly or daily trades during On-Peak Hours of Delivery Days during the Determination Period at the Delivery Point of which either or both ENA and the Buyer are aware and for which accurate cost and volume information is available to either ENA or the Buyer.  Hourly Trades are translated into an equivalent daily value by taking the weighted average hourly trades over the On-Peak Hours, using $0 (zero dollars) for those hours in which there are no hourly trades.</w:t>
            </w:r>
          </w:p>
          <w:p>
            <w:pPr>
              <w:pStyle w:val="Normal"/>
              <w:ind w:start="720" w:end="0"/>
              <w:jc w:val="both"/>
              <w:rPr>
                <w:sz w:val="22"/>
              </w:rPr>
            </w:pPr>
            <w:r>
              <w:rPr>
                <w:sz w:val="22"/>
              </w:rPr>
            </w:r>
          </w:p>
          <w:p>
            <w:pPr>
              <w:pStyle w:val="Normal"/>
              <w:ind w:start="720" w:end="0"/>
              <w:jc w:val="both"/>
              <w:rPr/>
            </w:pPr>
            <w:r>
              <w:rPr>
                <w:b/>
                <w:sz w:val="22"/>
              </w:rPr>
              <w:t>Net Dependable Capacity</w:t>
            </w:r>
            <w:r>
              <w:rPr>
                <w:sz w:val="22"/>
              </w:rPr>
              <w:t xml:space="preserve"> is the maximum sustainable generation capacity of a Covered Unit, modified for ambient limitations for a specified period of time (such as a month or season).  Net Dependable Capacity shall not exceed the capacity specified herein for each Covered Unit. </w:t>
            </w:r>
          </w:p>
          <w:p>
            <w:pPr>
              <w:pStyle w:val="Normal"/>
              <w:ind w:start="720" w:end="0"/>
              <w:jc w:val="both"/>
              <w:rPr>
                <w:sz w:val="22"/>
              </w:rPr>
            </w:pPr>
            <w:r>
              <w:rPr>
                <w:sz w:val="22"/>
              </w:rPr>
            </w:r>
          </w:p>
          <w:p>
            <w:pPr>
              <w:pStyle w:val="Normal"/>
              <w:ind w:start="720" w:end="0"/>
              <w:jc w:val="both"/>
              <w:rPr/>
            </w:pPr>
            <w:r>
              <w:rPr>
                <w:b/>
                <w:sz w:val="22"/>
              </w:rPr>
              <w:t>On-Peak Hours</w:t>
            </w:r>
            <w:r>
              <w:rPr>
                <w:sz w:val="22"/>
              </w:rPr>
              <w:t xml:space="preserve"> are, for each Delivery Day, the hours beginning with the hour ending 0800 (7:00 am) and concluding with the hour ending 2300 (11:00 pm) Eastern Prevailing Time.</w:t>
            </w:r>
          </w:p>
          <w:p>
            <w:pPr>
              <w:pStyle w:val="Normal"/>
              <w:ind w:start="720" w:end="0"/>
              <w:jc w:val="both"/>
              <w:rPr>
                <w:sz w:val="22"/>
              </w:rPr>
            </w:pPr>
            <w:r>
              <w:rPr>
                <w:sz w:val="22"/>
              </w:rPr>
            </w:r>
          </w:p>
          <w:p>
            <w:pPr>
              <w:pStyle w:val="Normal"/>
              <w:ind w:start="720" w:end="0"/>
              <w:jc w:val="both"/>
              <w:rPr/>
            </w:pPr>
            <w:r>
              <w:rPr>
                <w:b/>
                <w:sz w:val="22"/>
              </w:rPr>
              <w:t>Outage Duration Limit</w:t>
            </w:r>
            <w:r>
              <w:rPr>
                <w:sz w:val="22"/>
              </w:rPr>
              <w:t xml:space="preserve"> is the maximum number of On Peak Hours that will be counted in measuring an Unplanned Outage for each Determination Period.  </w:t>
            </w:r>
          </w:p>
          <w:p>
            <w:pPr>
              <w:pStyle w:val="Normal"/>
              <w:ind w:start="720" w:end="0"/>
              <w:jc w:val="both"/>
              <w:rPr>
                <w:sz w:val="22"/>
              </w:rPr>
            </w:pPr>
            <w:r>
              <w:rPr>
                <w:sz w:val="22"/>
              </w:rPr>
            </w:r>
          </w:p>
          <w:p>
            <w:pPr>
              <w:pStyle w:val="Normal"/>
              <w:ind w:start="720" w:end="0"/>
              <w:jc w:val="both"/>
              <w:rPr/>
            </w:pPr>
            <w:r>
              <w:rPr>
                <w:b/>
                <w:sz w:val="22"/>
              </w:rPr>
              <w:t>Settlement Data</w:t>
            </w:r>
            <w:r>
              <w:rPr>
                <w:sz w:val="22"/>
              </w:rPr>
              <w:t xml:space="preserve"> is the information Buyer must provide to Seller, in writing, including supporting documentation, to substantiate any request for payment hereunder and permit the accurate calculation of the Cash Settlement Amount and the Hub Basis.  All Settlement Data is subject to audit and verification by ENA.  Settlement Data may be provided to ENA by fax, overnight delivery or electronic mail at the address specified in Section 5 herein.</w:t>
            </w:r>
          </w:p>
          <w:p>
            <w:pPr>
              <w:pStyle w:val="Normal"/>
              <w:ind w:start="720" w:end="0"/>
              <w:jc w:val="both"/>
              <w:rPr>
                <w:sz w:val="22"/>
              </w:rPr>
            </w:pPr>
            <w:r>
              <w:rPr>
                <w:sz w:val="22"/>
              </w:rPr>
            </w:r>
          </w:p>
          <w:p>
            <w:pPr>
              <w:pStyle w:val="Normal"/>
              <w:ind w:start="720" w:end="0"/>
              <w:jc w:val="both"/>
              <w:rPr/>
            </w:pPr>
            <w:r>
              <w:rPr>
                <w:b/>
                <w:sz w:val="22"/>
              </w:rPr>
              <w:t>Strike Price</w:t>
            </w:r>
            <w:r>
              <w:rPr>
                <w:sz w:val="22"/>
              </w:rPr>
              <w:t xml:space="preserve"> is the value that must be exceeded by the Floating Price Index before the Seller will be obligated to pay the Cash Settlement Amount during a Knock-In Event.</w:t>
            </w:r>
          </w:p>
          <w:p>
            <w:pPr>
              <w:pStyle w:val="Normal"/>
              <w:ind w:start="720" w:end="0"/>
              <w:jc w:val="both"/>
              <w:rPr>
                <w:sz w:val="22"/>
              </w:rPr>
            </w:pPr>
            <w:r>
              <w:rPr>
                <w:sz w:val="22"/>
              </w:rPr>
            </w:r>
          </w:p>
          <w:p>
            <w:pPr>
              <w:pStyle w:val="Normal"/>
              <w:ind w:start="720" w:end="0"/>
              <w:jc w:val="both"/>
              <w:rPr/>
            </w:pPr>
            <w:r>
              <w:rPr>
                <w:b/>
                <w:sz w:val="22"/>
              </w:rPr>
              <w:t>Unplanned Outage</w:t>
            </w:r>
            <w:r>
              <w:rPr>
                <w:sz w:val="22"/>
              </w:rPr>
              <w:t xml:space="preserve"> is a generation outage event classified as a class 0, 1, 2, or 3 unplanned outage in the North American Electricity Reliability Council's Generating Availability Data System (the "NERC GADS"), during which a Covered Unit is not capable of producing any power or delivering power to its point of interconnection with the high voltage transmission system.  Unplanned Outage does not include any planned outage, as defined in the NERC GADS.  An Unplanned Outage shall be deemed to have commenced at the top of the hour following the hour during which the generation outage event first occurred.  An Unplanned Outage will be deemed to have concluded at the earlier of (i) the top of the hour following the hour in which the generation outage event that caused the Unplanned Outage ends, or (ii) the top of the hour following the hour in which the Unplanned Outage reaches the Outage Duration Limit.  More than one Unplanned Outage may occur during the Determination Period.  </w:t>
            </w:r>
          </w:p>
          <w:p>
            <w:pPr>
              <w:pStyle w:val="Normal"/>
              <w:jc w:val="both"/>
              <w:rPr>
                <w:sz w:val="22"/>
              </w:rPr>
            </w:pPr>
            <w:r>
              <w:rPr>
                <w:sz w:val="22"/>
              </w:rPr>
            </w:r>
          </w:p>
          <w:p>
            <w:pPr>
              <w:pStyle w:val="Normal"/>
              <w:jc w:val="both"/>
              <w:rPr/>
            </w:pPr>
            <w:r>
              <w:rPr>
                <w:b/>
                <w:sz w:val="22"/>
                <w:u w:val="single"/>
              </w:rPr>
              <w:t>Condition Precedent to Payment</w:t>
            </w:r>
            <w:r>
              <w:rPr>
                <w:b/>
                <w:sz w:val="22"/>
              </w:rPr>
              <w:t>.</w:t>
            </w:r>
            <w:r>
              <w:rPr>
                <w:sz w:val="22"/>
              </w:rPr>
              <w:tab/>
              <w:t xml:space="preserve">Counterparty must notify ENA of the occurrence of a Knock-In Event within three hours after the commencement of the Knock-In Event, this notification shall be made by phone or fax to:  </w:t>
            </w:r>
          </w:p>
          <w:p>
            <w:pPr>
              <w:pStyle w:val="Normal"/>
              <w:jc w:val="both"/>
              <w:rPr>
                <w:sz w:val="22"/>
              </w:rPr>
            </w:pPr>
            <w:r>
              <w:rPr>
                <w:sz w:val="22"/>
              </w:rPr>
            </w:r>
          </w:p>
          <w:p>
            <w:pPr>
              <w:pStyle w:val="Normal"/>
              <w:ind w:start="720" w:end="0"/>
              <w:jc w:val="both"/>
              <w:rPr>
                <w:sz w:val="22"/>
              </w:rPr>
            </w:pPr>
            <w:r>
              <w:rPr>
                <w:sz w:val="22"/>
              </w:rPr>
              <w:t xml:space="preserve">David T. Hoog </w:t>
            </w:r>
          </w:p>
          <w:p>
            <w:pPr>
              <w:pStyle w:val="Normal"/>
              <w:ind w:start="720" w:end="0"/>
              <w:jc w:val="both"/>
              <w:rPr>
                <w:sz w:val="22"/>
              </w:rPr>
            </w:pPr>
            <w:r>
              <w:rPr>
                <w:sz w:val="22"/>
              </w:rPr>
              <w:t>Enron North America</w:t>
            </w:r>
          </w:p>
          <w:p>
            <w:pPr>
              <w:pStyle w:val="Normal"/>
              <w:ind w:start="720" w:end="0"/>
              <w:jc w:val="both"/>
              <w:rPr>
                <w:sz w:val="22"/>
              </w:rPr>
            </w:pPr>
            <w:r>
              <w:rPr>
                <w:sz w:val="22"/>
              </w:rPr>
              <w:t>780 Third Avenue</w:t>
            </w:r>
          </w:p>
          <w:p>
            <w:pPr>
              <w:pStyle w:val="Normal"/>
              <w:ind w:start="720" w:end="0"/>
              <w:jc w:val="both"/>
              <w:rPr>
                <w:sz w:val="22"/>
              </w:rPr>
            </w:pPr>
            <w:r>
              <w:rPr>
                <w:sz w:val="22"/>
              </w:rPr>
              <w:t>25th Floor</w:t>
            </w:r>
          </w:p>
          <w:p>
            <w:pPr>
              <w:pStyle w:val="Normal"/>
              <w:ind w:start="720" w:end="0"/>
              <w:jc w:val="both"/>
              <w:rPr>
                <w:sz w:val="22"/>
              </w:rPr>
            </w:pPr>
            <w:r>
              <w:rPr>
                <w:sz w:val="22"/>
              </w:rPr>
              <w:t>New York, NY 10017</w:t>
            </w:r>
          </w:p>
          <w:p>
            <w:pPr>
              <w:pStyle w:val="Normal"/>
              <w:ind w:start="720" w:end="0"/>
              <w:jc w:val="both"/>
              <w:rPr>
                <w:sz w:val="22"/>
              </w:rPr>
            </w:pPr>
            <w:r>
              <w:rPr>
                <w:sz w:val="22"/>
              </w:rPr>
              <w:t>Tel:  212-702-3920</w:t>
            </w:r>
          </w:p>
          <w:p>
            <w:pPr>
              <w:pStyle w:val="Normal"/>
              <w:ind w:start="720" w:end="0"/>
              <w:jc w:val="both"/>
              <w:rPr>
                <w:sz w:val="22"/>
              </w:rPr>
            </w:pPr>
            <w:r>
              <w:rPr>
                <w:sz w:val="22"/>
              </w:rPr>
              <w:t>Fax:  212-702-3950</w:t>
            </w:r>
          </w:p>
          <w:p>
            <w:pPr>
              <w:pStyle w:val="Normal"/>
              <w:ind w:start="720" w:end="0"/>
              <w:jc w:val="both"/>
              <w:rPr/>
            </w:pPr>
            <w:hyperlink r:id="rId4">
              <w:r>
                <w:rPr>
                  <w:rStyle w:val="Hyperlink"/>
                  <w:sz w:val="22"/>
                </w:rPr>
                <w:t>david.hoog@enron.com</w:t>
              </w:r>
            </w:hyperlink>
            <w:r>
              <w:rPr>
                <w:sz w:val="22"/>
              </w:rPr>
              <w:t>.</w:t>
            </w:r>
          </w:p>
          <w:p>
            <w:pPr>
              <w:pStyle w:val="Normal"/>
              <w:ind w:start="720" w:end="0"/>
              <w:jc w:val="both"/>
              <w:rPr>
                <w:sz w:val="22"/>
              </w:rPr>
            </w:pPr>
            <w:r>
              <w:rPr>
                <w:sz w:val="22"/>
              </w:rPr>
            </w:r>
          </w:p>
          <w:p>
            <w:pPr>
              <w:pStyle w:val="Normal"/>
              <w:jc w:val="both"/>
              <w:rPr>
                <w:sz w:val="22"/>
              </w:rPr>
            </w:pPr>
            <w:r>
              <w:rPr>
                <w:sz w:val="22"/>
              </w:rPr>
              <w:t>In addition, notification shall be made to the address for notices specified below.</w:t>
            </w:r>
          </w:p>
          <w:p>
            <w:pPr>
              <w:pStyle w:val="Normal"/>
              <w:jc w:val="both"/>
              <w:rPr>
                <w:sz w:val="22"/>
              </w:rPr>
            </w:pPr>
            <w:r>
              <w:rPr>
                <w:sz w:val="22"/>
              </w:rPr>
            </w:r>
          </w:p>
          <w:p>
            <w:pPr>
              <w:pStyle w:val="Normal"/>
              <w:jc w:val="both"/>
              <w:rPr/>
            </w:pPr>
            <w:r>
              <w:rPr>
                <w:b/>
                <w:sz w:val="22"/>
              </w:rPr>
              <w:t xml:space="preserve">Additional Representations of Counterparty. </w:t>
            </w:r>
            <w:r>
              <w:rPr>
                <w:sz w:val="22"/>
              </w:rPr>
              <w:t xml:space="preserve"> In addition to the Representations set forth in Section 1 of Annex A, Counterparty hereby further represents and warrants to ENA (which representations will be deemed to be repeated by Counterparty at all times until the termination of this Transaction) that: (a) This Agreement and each Transaction has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  (b) This Transaction does not constitute any kind of investment by Counterparty that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  (c) It has clear investment policies, its personnel are fully trained in and knowledgeable of such investment policies, and such investment policies are subject to regular reviews.  (f) All information that is furnished in writing by or on behalf of Counterparty to ENA regarding the history and condition of the Covered Unit(s) provided as part of the due diligence relating to this Transaction is as of the date of the information, true, accurate and complete in every material respect and such information is incorporated by reference herein.</w:t>
            </w:r>
          </w:p>
          <w:p>
            <w:pPr>
              <w:pStyle w:val="Normal"/>
              <w:jc w:val="both"/>
              <w:rPr>
                <w:b/>
                <w:sz w:val="22"/>
              </w:rPr>
            </w:pPr>
            <w:r>
              <w:rPr>
                <w:b/>
                <w:sz w:val="22"/>
              </w:rPr>
            </w:r>
          </w:p>
          <w:p>
            <w:pPr>
              <w:pStyle w:val="Normal"/>
              <w:jc w:val="both"/>
              <w:rPr/>
            </w:pPr>
            <w:r>
              <w:rPr>
                <w:b/>
                <w:sz w:val="22"/>
              </w:rPr>
              <w:t>Documentation.</w:t>
            </w:r>
            <w:r>
              <w:rPr>
                <w:sz w:val="22"/>
              </w:rPr>
              <w:tab/>
              <w:t>Upon request of ENA Counterparty agrees to deliver to ENA certified copies of:  (1) the charter, enabling statutes, and constitution or comparable legislation, creating or authorizing Counterparty; (2) bylaws of Counterparty; (3) other charter and constituent instruments of Counterparty; (4) investment policies, guidelines or restrictions of Counterparty; (5) resolution approving the Transactions contemplated by this Agreement and authorizing a specified person or persons to execute and deliver on behalf of Counterparty this Agreement, the exhibits, supplements, and attachments hereto, the documents incorporated by reference herein, and the Confirmations hereunder; and (6) amendments to any of the foregoing.</w:t>
            </w:r>
          </w:p>
          <w:p>
            <w:pPr>
              <w:pStyle w:val="Normal"/>
              <w:jc w:val="both"/>
              <w:rPr>
                <w:sz w:val="22"/>
              </w:rPr>
            </w:pPr>
            <w:r>
              <w:rPr>
                <w:sz w:val="22"/>
              </w:rPr>
            </w:r>
          </w:p>
          <w:p>
            <w:pPr>
              <w:pStyle w:val="Normal"/>
              <w:tabs>
                <w:tab w:val="clear" w:pos="720"/>
                <w:tab w:val="left" w:pos="810" w:leader="none"/>
                <w:tab w:val="left" w:pos="1170" w:leader="none"/>
              </w:tabs>
              <w:jc w:val="both"/>
              <w:rPr/>
            </w:pPr>
            <w:r>
              <w:rPr>
                <w:b/>
                <w:sz w:val="22"/>
              </w:rPr>
              <w:t>Miscellaneous</w:t>
            </w:r>
            <w:r>
              <w:rPr>
                <w:sz w:val="22"/>
              </w:rPr>
              <w:t xml:space="preserve">.  Subsection 4 of the third paragraph of Section 6 of Annex A attached hereto shall be replaced by the following language: </w:t>
            </w:r>
          </w:p>
          <w:p>
            <w:pPr>
              <w:pStyle w:val="Normal"/>
              <w:tabs>
                <w:tab w:val="clear" w:pos="720"/>
                <w:tab w:val="left" w:pos="810" w:leader="none"/>
                <w:tab w:val="left" w:pos="1170" w:leader="none"/>
              </w:tabs>
              <w:jc w:val="both"/>
              <w:rPr>
                <w:sz w:val="22"/>
              </w:rPr>
            </w:pPr>
            <w:r>
              <w:rPr>
                <w:sz w:val="22"/>
              </w:rPr>
            </w:r>
          </w:p>
          <w:p>
            <w:pPr>
              <w:pStyle w:val="BodyText2"/>
              <w:tabs>
                <w:tab w:val="clear" w:pos="720"/>
                <w:tab w:val="left" w:pos="810" w:leader="none"/>
                <w:tab w:val="left" w:pos="1170" w:leader="none"/>
              </w:tabs>
              <w:rPr/>
            </w:pPr>
            <w:r>
              <w:rPr/>
              <w:t>“</w:t>
            </w:r>
            <w:r>
              <w:rPr/>
              <w:t>(4) as may be furnished to the disclosing party's Affiliates, and to each of such person’s auditors, attorneys, advisors, insurers, or lenders which are required to keep the information that is disclosed in confidence.”</w:t>
            </w:r>
          </w:p>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tc>
      </w:tr>
    </w:tbl>
    <w:p>
      <w:pPr>
        <w:pStyle w:val="Normal"/>
        <w:rPr>
          <w:sz w:val="22"/>
        </w:rPr>
      </w:pPr>
      <w:r>
        <w:rPr>
          <w:sz w:val="22"/>
        </w:rPr>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«DateToday»</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«EnronAddr1»</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«EnronAddrCity»</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«EnronAddrState»</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«EnronAddrZip»</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Heading1"/>
        <w:ind w:hanging="0" w:start="0"/>
        <w:jc w:val="start"/>
        <w:rPr>
          <w:b w:val="false"/>
          <w:sz w:val="20"/>
        </w:rPr>
      </w:pPr>
      <w:r>
        <w:rPr>
          <w:b w:val="false"/>
          <w:sz w:val="20"/>
        </w:rPr>
      </w:r>
    </w:p>
    <w:p>
      <w:pPr>
        <w:pStyle w:val="Heading1"/>
        <w:ind w:hanging="0" w:start="0"/>
        <w:rPr>
          <w:sz w:val="20"/>
        </w:rPr>
      </w:pPr>
      <w:r>
        <w:rPr>
          <w:sz w:val="20"/>
        </w:rPr>
      </w:r>
    </w:p>
    <w:p>
      <w:pPr>
        <w:pStyle w:val="Heading1"/>
        <w:ind w:hanging="0" w:start="0"/>
        <w:rPr>
          <w:sz w:val="20"/>
        </w:rPr>
      </w:pPr>
      <w:r>
        <w:rPr>
          <w:sz w:val="20"/>
        </w:rPr>
      </w:r>
    </w:p>
    <w:p>
      <w:pPr>
        <w:sectPr>
          <w:type w:val="continuous"/>
          <w:pgSz w:w="12240" w:h="15840"/>
          <w:pgMar w:left="1152" w:right="864" w:gutter="0" w:header="720" w:top="864" w:footer="0" w:bottom="864"/>
          <w:formProt w:val="false"/>
          <w:textDirection w:val="lrTb"/>
          <w:docGrid w:type="default" w:linePitch="360" w:charSpace="0"/>
        </w:sectPr>
      </w:pPr>
    </w:p>
    <w:p>
      <w:pPr>
        <w:pStyle w:val="Normal"/>
        <w:rPr>
          <w:sz w:val="20"/>
        </w:rPr>
      </w:pPr>
      <w:r>
        <w:rPr>
          <w:sz w:val="20"/>
        </w:rPr>
      </w:r>
    </w:p>
    <w:p>
      <w:pPr>
        <w:pStyle w:val="Heading1"/>
        <w:ind w:hanging="0" w:start="0"/>
        <w:rPr>
          <w:sz w:val="20"/>
        </w:rPr>
      </w:pPr>
      <w:r>
        <w:rPr>
          <w:sz w:val="20"/>
        </w:rPr>
        <w:t>ANNEX A</w:t>
      </w:r>
    </w:p>
    <w:p>
      <w:pPr>
        <w:pStyle w:val="Normal"/>
        <w:jc w:val="center"/>
        <w:rPr>
          <w:b/>
          <w:sz w:val="20"/>
          <w:u w:val="single"/>
        </w:rPr>
      </w:pPr>
      <w:r>
        <w:rPr>
          <w:b/>
          <w:sz w:val="20"/>
          <w:u w:val="single"/>
        </w:rPr>
      </w:r>
    </w:p>
    <w:p>
      <w:pPr>
        <w:pStyle w:val="Heading2"/>
        <w:ind w:hanging="0" w:start="0"/>
        <w:rPr/>
      </w:pPr>
      <w:r>
        <w:rPr/>
        <w:t>GENERAL TERMS AND CONDITIONS</w:t>
      </w:r>
    </w:p>
    <w:p>
      <w:pPr>
        <w:pStyle w:val="Normal"/>
        <w:rPr/>
      </w:pPr>
      <w:r>
        <w:rPr/>
      </w:r>
    </w:p>
    <w:p>
      <w:pPr>
        <w:pStyle w:val="Normal"/>
        <w:rPr/>
      </w:pPr>
      <w:r>
        <w:rPr/>
      </w:r>
    </w:p>
    <w:p>
      <w:pPr>
        <w:sectPr>
          <w:headerReference w:type="default" r:id="rId5"/>
          <w:footerReference w:type="default" r:id="rId6"/>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pPr>
      <w:r>
        <w:rPr/>
      </w:r>
    </w:p>
    <w:p>
      <w:pPr>
        <w:pStyle w:val="Normal"/>
        <w:rPr>
          <w:b/>
          <w:sz w:val="22"/>
        </w:rPr>
      </w:pPr>
      <w:r>
        <w:rPr>
          <w:b/>
          <w:sz w:val="22"/>
        </w:rPr>
      </w:r>
    </w:p>
    <w:p>
      <w:pPr>
        <w:sectPr>
          <w:type w:val="continuous"/>
          <w:pgSz w:w="12240" w:h="15840"/>
          <w:pgMar w:left="1152" w:right="864" w:gutter="0" w:header="720" w:top="864" w:footer="720" w:bottom="864"/>
          <w:cols w:num="2" w:space="708" w:equalWidth="true" w:sep="false"/>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u w:val="single"/>
      </w:rPr>
    </w:pPr>
    <w:r>
      <w:rPr>
        <w:sz w:val="16"/>
        <w:u w:val="single"/>
      </w:rPr>
      <w:t>ENA/U.S. Counterparty</w:t>
    </w:r>
  </w:p>
  <w:p>
    <w:pPr>
      <w:pStyle w:val="Footer"/>
      <w:rPr>
        <w:sz w:val="16"/>
        <w:u w:val="single"/>
      </w:rPr>
    </w:pPr>
    <w:r>
      <w:rPr>
        <w:sz w:val="16"/>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sz w:val="20"/>
      </w:rPr>
    </w:pPr>
    <w:r>
      <w:rPr/>
      <w:tab/>
      <w:tab/>
      <w:tab/>
    </w:r>
  </w:p>
  <w:p>
    <w:pPr>
      <w:pStyle w:val="Header"/>
      <w:tabs>
        <w:tab w:val="clear" w:pos="8640"/>
        <w:tab w:val="center" w:pos="4320" w:leader="none"/>
        <w:tab w:val="right" w:pos="7200" w:leader="none"/>
      </w:tabs>
      <w:rPr/>
    </w:pPr>
    <w:r>
      <w:rPr/>
      <w:tab/>
      <w:tab/>
    </w:r>
    <w:r>
      <w:rPr>
        <w:sz w:val="20"/>
      </w:rPr>
      <w:t xml:space="preserve">Deal No.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z w:val="22"/>
    </w:rPr>
  </w:style>
  <w:style w:type="paragraph" w:styleId="BodyText2">
    <w:name w:val="Body Text 2"/>
    <w:basedOn w:val="Normal"/>
    <w:qFormat/>
    <w:pPr>
      <w:jc w:val="both"/>
    </w:pPr>
    <w:rPr>
      <w:sz w:val="22"/>
    </w:rPr>
  </w:style>
  <w:style w:type="paragraph" w:styleId="Expanded">
    <w:name w:val="Expanded"/>
    <w:basedOn w:val="Normal"/>
    <w:next w:val="Normal"/>
    <w:qFormat/>
    <w:pPr>
      <w:widowControl w:val="false"/>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1.png"/><Relationship Id="rId4" Type="http://schemas.openxmlformats.org/officeDocument/2006/relationships/hyperlink" Target="mailto:david.hoog@enron.com" TargetMode="Externa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2001-02-27T13:03:00Z</dcterms:created>
  <dc:creator>ECT</dc:creator>
  <dc:description/>
  <dc:language>en-CA</dc:language>
  <cp:lastModifiedBy>Christopher Ahn</cp:lastModifiedBy>
  <cp:lastPrinted>2001-02-27T09:33:00Z</cp:lastPrinted>
  <dcterms:modified xsi:type="dcterms:W3CDTF">2001-02-27T13:03:00Z</dcterms:modified>
  <cp:revision>2</cp:revision>
  <dc:subject/>
  <dc:title>THIS CONTRACT IS A SAMPLE FORM OF CONTRACT ONLY AND DOES NOT INCLUDE ALL PROVISIONS THAT ARE NECESSARY TO IMPLEMENT TRANSACTIO</dc:title>
</cp:coreProperties>
</file>