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Index1"/>
        <w:jc w:val="center"/>
        <w:rPr/>
      </w:pPr>
      <w:r>
        <w:rPr/>
        <w:t xml:space="preserve">Exhibit </w:t>
      </w:r>
    </w:p>
    <w:p>
      <w:pPr>
        <w:pStyle w:val="Index1"/>
        <w:jc w:val="center"/>
        <w:rPr/>
      </w:pPr>
      <w:r>
        <w:rPr/>
        <w:t>Existing Contracts</w:t>
      </w:r>
    </w:p>
    <w:p>
      <w:pPr>
        <w:pStyle w:val="Index1"/>
        <w:rPr/>
      </w:pPr>
      <w:r>
        <w:rPr/>
      </w:r>
    </w:p>
    <w:p>
      <w:pPr>
        <w:pStyle w:val="Normal"/>
        <w:rPr/>
      </w:pPr>
      <w:r>
        <w:rPr/>
      </w:r>
    </w:p>
    <w:tbl>
      <w:tblPr>
        <w:tblW w:w="10260" w:type="dxa"/>
        <w:jc w:val="start"/>
        <w:tblInd w:w="736" w:type="dxa"/>
        <w:tblLayout w:type="fixed"/>
        <w:tblCellMar>
          <w:top w:w="16" w:type="dxa"/>
          <w:start w:w="16" w:type="dxa"/>
          <w:bottom w:w="0" w:type="dxa"/>
          <w:end w:w="16" w:type="dxa"/>
        </w:tblCellMar>
      </w:tblPr>
      <w:tblGrid>
        <w:gridCol w:w="944"/>
        <w:gridCol w:w="837"/>
        <w:gridCol w:w="1056"/>
        <w:gridCol w:w="1516"/>
        <w:gridCol w:w="1172"/>
        <w:gridCol w:w="1275"/>
        <w:gridCol w:w="2200"/>
        <w:gridCol w:w="1260"/>
      </w:tblGrid>
      <w:tr>
        <w:trPr>
          <w:trHeight w:val="765" w:hRule="atLeast"/>
        </w:trPr>
        <w:tc>
          <w:tcPr>
            <w:tcW w:w="944"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Resource</w:t>
            </w:r>
          </w:p>
        </w:tc>
        <w:tc>
          <w:tcPr>
            <w:tcW w:w="837"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Amount MW</w:t>
            </w:r>
          </w:p>
        </w:tc>
        <w:tc>
          <w:tcPr>
            <w:tcW w:w="105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Hour Limitation</w:t>
            </w:r>
          </w:p>
        </w:tc>
        <w:tc>
          <w:tcPr>
            <w:tcW w:w="151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Reliability</w:t>
            </w:r>
          </w:p>
        </w:tc>
        <w:tc>
          <w:tcPr>
            <w:tcW w:w="1172"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Term</w:t>
            </w:r>
          </w:p>
        </w:tc>
        <w:tc>
          <w:tcPr>
            <w:tcW w:w="1275"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Delivery Point</w:t>
            </w:r>
          </w:p>
        </w:tc>
        <w:tc>
          <w:tcPr>
            <w:tcW w:w="220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Scheduling</w:t>
            </w:r>
          </w:p>
        </w:tc>
        <w:tc>
          <w:tcPr>
            <w:tcW w:w="12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Minimum Delivery</w:t>
            </w:r>
          </w:p>
        </w:tc>
      </w:tr>
      <w:tr>
        <w:trPr>
          <w:trHeight w:val="127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SEPA</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11</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1500</w:t>
            </w:r>
          </w:p>
        </w:tc>
        <w:tc>
          <w:tcPr>
            <w:tcW w:w="1516" w:type="dxa"/>
            <w:tcBorders/>
            <w:vAlign w:val="cente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None</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  Submit annual schedule by June 20</w:t>
              <w:br/>
              <w:t>2.  Monthly breakdown (by week) 10 days prior to beginning of month</w:t>
              <w:br/>
              <w:t>3.  Weekly breakdown (by hour) by preceding Wednesday</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510"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Cajun</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Firm System Capacity (as firm as native load)</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Week ahead by COB Thursday</w:t>
              <w:br/>
              <w:t>Hourly changes with approval</w:t>
            </w:r>
          </w:p>
        </w:tc>
        <w:tc>
          <w:tcPr>
            <w:tcW w:w="1260" w:type="dxa"/>
            <w:tcBorders/>
            <w:vAlign w:val="center"/>
          </w:tcPr>
          <w:p>
            <w:pPr>
              <w:pStyle w:val="Normal"/>
              <w:rPr>
                <w:rFonts w:ascii="Arial" w:hAnsi="Arial" w:eastAsia="Arial Unicode MS" w:cs="Arial"/>
                <w:sz w:val="20"/>
                <w:szCs w:val="20"/>
              </w:rPr>
            </w:pPr>
            <w:r>
              <w:rPr>
                <w:rFonts w:cs="Arial" w:ascii="Arial" w:hAnsi="Arial"/>
                <w:sz w:val="20"/>
                <w:szCs w:val="20"/>
              </w:rPr>
              <w:t>At least 25% of contract capacity</w:t>
            </w:r>
          </w:p>
        </w:tc>
      </w:tr>
      <w:tr>
        <w:trPr>
          <w:trHeight w:val="76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EPI-Isis</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76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EPI-Ritchie</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1</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Index1"/>
        <w:rPr/>
      </w:pPr>
      <w:r>
        <w:rPr/>
      </w:r>
    </w:p>
    <w:p>
      <w:pPr>
        <w:pStyle w:val="Index1"/>
        <w:rPr/>
      </w:pPr>
      <w:r>
        <w:rPr/>
      </w:r>
    </w:p>
    <w:p>
      <w:pPr>
        <w:pStyle w:val="Index1"/>
        <w:rPr>
          <w:b/>
          <w:bCs/>
          <w:u w:val="single"/>
        </w:rPr>
      </w:pPr>
      <w:r>
        <w:rPr>
          <w:b/>
          <w:bCs/>
          <w:u w:val="single"/>
        </w:rPr>
        <w:t>Gas Contracts</w:t>
      </w:r>
    </w:p>
    <w:p>
      <w:pPr>
        <w:pStyle w:val="Index1"/>
        <w:rPr>
          <w:b/>
          <w:bCs/>
          <w:u w:val="single"/>
        </w:rPr>
      </w:pPr>
      <w:r>
        <w:rPr>
          <w:b/>
          <w:bCs/>
          <w:u w:val="single"/>
        </w:rPr>
      </w:r>
    </w:p>
    <w:p>
      <w:pPr>
        <w:pStyle w:val="Index1"/>
        <w:numPr>
          <w:ilvl w:val="0"/>
          <w:numId w:val="3"/>
        </w:numPr>
        <w:rPr/>
      </w:pPr>
      <w:r>
        <w:rPr/>
        <w:t>SNS transportation agreement between Clarksdale and Texas Gas</w:t>
      </w:r>
    </w:p>
    <w:p>
      <w:pPr>
        <w:pStyle w:val="BodyText2"/>
        <w:numPr>
          <w:ilvl w:val="0"/>
          <w:numId w:val="3"/>
        </w:numPr>
        <w:rPr/>
      </w:pPr>
      <w:r>
        <w:rPr/>
        <w:t>Firm transportation agreement between Yazoo City and Mississippi Valley Gas (LDC)</w:t>
      </w:r>
      <w:r>
        <w:br w:type="page"/>
      </w:r>
    </w:p>
    <w:p>
      <w:pPr>
        <w:pStyle w:val="BodyText2"/>
        <w:rPr/>
      </w:pPr>
      <w:r>
        <w:rPr/>
        <w:t>EXHIBIT</w:t>
      </w:r>
    </w:p>
    <w:p>
      <w:pPr>
        <w:pStyle w:val="Heading1"/>
        <w:ind w:hanging="0" w:start="0"/>
        <w:rPr/>
      </w:pPr>
      <w:r>
        <w:rPr/>
        <w:t>Facilities</w:t>
      </w:r>
    </w:p>
    <w:p>
      <w:pPr>
        <w:pStyle w:val="Normal"/>
        <w:jc w:val="center"/>
        <w:rPr>
          <w:u w:val="single"/>
        </w:rPr>
      </w:pPr>
      <w:r>
        <w:rPr>
          <w:u w:val="single"/>
        </w:rPr>
      </w:r>
    </w:p>
    <w:tbl>
      <w:tblPr>
        <w:tblW w:w="8280" w:type="dxa"/>
        <w:jc w:val="start"/>
        <w:tblInd w:w="1456" w:type="dxa"/>
        <w:tblLayout w:type="fixed"/>
        <w:tblCellMar>
          <w:top w:w="16" w:type="dxa"/>
          <w:start w:w="16" w:type="dxa"/>
          <w:bottom w:w="0" w:type="dxa"/>
          <w:end w:w="16" w:type="dxa"/>
        </w:tblCellMar>
      </w:tblPr>
      <w:tblGrid>
        <w:gridCol w:w="1800"/>
        <w:gridCol w:w="1800"/>
        <w:gridCol w:w="2160"/>
        <w:gridCol w:w="2520"/>
      </w:tblGrid>
      <w:tr>
        <w:trPr>
          <w:trHeight w:val="300" w:hRule="atLeast"/>
        </w:trPr>
        <w:tc>
          <w:tcPr>
            <w:tcW w:w="1800" w:type="dxa"/>
            <w:tcBorders/>
            <w:vAlign w:val="bottom"/>
          </w:tcPr>
          <w:p>
            <w:pPr>
              <w:pStyle w:val="Normal"/>
              <w:rPr>
                <w:rFonts w:ascii="Arial" w:hAnsi="Arial" w:eastAsia="Arial Unicode MS" w:cs="Arial"/>
                <w:b/>
                <w:bCs/>
                <w:sz w:val="20"/>
                <w:szCs w:val="22"/>
              </w:rPr>
            </w:pPr>
            <w:r>
              <w:rPr>
                <w:rFonts w:cs="Arial" w:ascii="Arial" w:hAnsi="Arial"/>
                <w:b/>
                <w:bCs/>
                <w:sz w:val="20"/>
                <w:szCs w:val="22"/>
              </w:rPr>
              <w:t>CPU UNITS</w:t>
            </w:r>
          </w:p>
        </w:tc>
        <w:tc>
          <w:tcPr>
            <w:tcW w:w="180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9</w:t>
            </w:r>
          </w:p>
        </w:tc>
        <w:tc>
          <w:tcPr>
            <w:tcW w:w="216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8/6</w:t>
            </w:r>
          </w:p>
        </w:tc>
        <w:tc>
          <w:tcPr>
            <w:tcW w:w="252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7</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STAG Combined Cycle</w:t>
            </w:r>
          </w:p>
        </w:tc>
        <w:tc>
          <w:tcPr>
            <w:tcW w:w="216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Cycle/CC</w:t>
            </w:r>
          </w:p>
        </w:tc>
        <w:tc>
          <w:tcPr>
            <w:tcW w:w="252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Conventional 400lb Steam</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22.00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12.7/6.8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7.50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12,500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21,000/13,100 </w:t>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11,500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17,300/11,900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19,500 </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Acceptable Min Run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8.00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28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96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$ 2.00</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80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2520" w:type="dxa"/>
            <w:tcBorders/>
            <w:vAlign w:val="bottom"/>
          </w:tcPr>
          <w:p>
            <w:pPr>
              <w:pStyle w:val="Normal"/>
              <w:jc w:val="end"/>
              <w:rPr>
                <w:rFonts w:ascii="Arial" w:hAnsi="Arial" w:eastAsia="Arial Unicode MS" w:cs="Arial"/>
                <w:sz w:val="20"/>
                <w:szCs w:val="22"/>
              </w:rPr>
            </w:pPr>
            <w:r>
              <w:rPr>
                <w:rFonts w:cs="Arial" w:ascii="Arial" w:hAnsi="Arial"/>
                <w:sz w:val="20"/>
                <w:szCs w:val="22"/>
              </w:rPr>
              <w:t>No</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80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80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8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 xml:space="preserve">$2.00 </w:t>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 xml:space="preserve">Historical Availability </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bl>
    <w:p>
      <w:pPr>
        <w:pStyle w:val="Normal"/>
        <w:rPr/>
      </w:pPr>
      <w:r>
        <w:br w:type="page"/>
      </w:r>
      <w:r>
        <w:rPr/>
      </w:r>
    </w:p>
    <w:tbl>
      <w:tblPr>
        <w:tblW w:w="10080" w:type="dxa"/>
        <w:jc w:val="start"/>
        <w:tblInd w:w="916" w:type="dxa"/>
        <w:tblLayout w:type="fixed"/>
        <w:tblCellMar>
          <w:top w:w="16" w:type="dxa"/>
          <w:start w:w="16" w:type="dxa"/>
          <w:bottom w:w="0" w:type="dxa"/>
          <w:end w:w="16" w:type="dxa"/>
        </w:tblCellMar>
      </w:tblPr>
      <w:tblGrid>
        <w:gridCol w:w="1800"/>
        <w:gridCol w:w="1800"/>
        <w:gridCol w:w="1620"/>
        <w:gridCol w:w="1800"/>
        <w:gridCol w:w="1980"/>
        <w:gridCol w:w="1080"/>
      </w:tblGrid>
      <w:tr>
        <w:trPr>
          <w:trHeight w:val="285" w:hRule="atLeast"/>
        </w:trPr>
        <w:tc>
          <w:tcPr>
            <w:tcW w:w="1800" w:type="dxa"/>
            <w:tcBorders/>
            <w:vAlign w:val="bottom"/>
          </w:tcPr>
          <w:p>
            <w:pPr>
              <w:pStyle w:val="Normal"/>
              <w:rPr>
                <w:rFonts w:ascii="Arial" w:hAnsi="Arial" w:eastAsia="Arial Unicode MS" w:cs="Arial"/>
                <w:b/>
                <w:bCs/>
                <w:sz w:val="20"/>
                <w:szCs w:val="22"/>
              </w:rPr>
            </w:pPr>
            <w:r>
              <w:rPr>
                <w:rFonts w:cs="Arial" w:ascii="Arial" w:hAnsi="Arial"/>
                <w:b/>
                <w:bCs/>
                <w:sz w:val="20"/>
                <w:szCs w:val="22"/>
              </w:rPr>
              <w:t>Yazoo City UNITS</w:t>
            </w:r>
          </w:p>
        </w:tc>
        <w:tc>
          <w:tcPr>
            <w:tcW w:w="180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300"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w:t>
            </w:r>
          </w:p>
        </w:tc>
        <w:tc>
          <w:tcPr>
            <w:tcW w:w="162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ST2</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ST3</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CT1/ST3</w:t>
            </w:r>
          </w:p>
        </w:tc>
        <w:tc>
          <w:tcPr>
            <w:tcW w:w="1080" w:type="dxa"/>
            <w:tcBorders/>
            <w:vAlign w:val="bottom"/>
          </w:tcPr>
          <w:p>
            <w:pPr>
              <w:pStyle w:val="Normal"/>
              <w:rPr>
                <w:rFonts w:ascii="Arial" w:hAnsi="Arial" w:eastAsia="Arial Unicode MS" w:cs="Arial"/>
                <w:sz w:val="20"/>
                <w:szCs w:val="22"/>
              </w:rPr>
            </w:pPr>
            <w:r>
              <w:rPr>
                <w:rFonts w:cs="Arial" w:ascii="Arial" w:hAnsi="Arial"/>
                <w:sz w:val="20"/>
                <w:szCs w:val="22"/>
              </w:rPr>
              <w:t>TOTAL</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w:t>
            </w:r>
          </w:p>
        </w:tc>
        <w:tc>
          <w:tcPr>
            <w:tcW w:w="162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400 LB STEAM</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600 LB STEAM</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COMBINED CYCLE</w:t>
            </w:r>
          </w:p>
        </w:tc>
        <w:tc>
          <w:tcPr>
            <w:tcW w:w="1080" w:type="dxa"/>
            <w:tcBorders>
              <w:bottom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SYSTEM</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14.50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23.00 </w:t>
            </w:r>
          </w:p>
        </w:tc>
        <w:tc>
          <w:tcPr>
            <w:tcW w:w="1080" w:type="dxa"/>
            <w:tcBorders/>
            <w:vAlign w:val="bottom"/>
          </w:tcPr>
          <w:p>
            <w:pPr>
              <w:pStyle w:val="Normal"/>
              <w:jc w:val="center"/>
              <w:rPr>
                <w:rFonts w:ascii="Arial" w:hAnsi="Arial" w:eastAsia="Arial Unicode MS" w:cs="Arial"/>
                <w:sz w:val="20"/>
                <w:szCs w:val="22"/>
              </w:rPr>
            </w:pPr>
            <w:r>
              <w:rPr>
                <w:rFonts w:cs="Arial" w:ascii="Arial" w:hAnsi="Arial"/>
                <w:sz w:val="20"/>
                <w:szCs w:val="22"/>
              </w:rPr>
              <w:t>32.00</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17,000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10,700 </w:t>
            </w:r>
          </w:p>
        </w:tc>
        <w:tc>
          <w:tcPr>
            <w:tcW w:w="10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Accepwtable Min Run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.17/.50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.17/.10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2.00/1.00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62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Historical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Projected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0080" w:type="dxa"/>
            <w:gridSpan w:val="6"/>
            <w:tcBorders/>
            <w:vAlign w:val="bottom"/>
          </w:tcPr>
          <w:p>
            <w:pPr>
              <w:pStyle w:val="Normal"/>
              <w:rPr>
                <w:rFonts w:ascii="Arial" w:hAnsi="Arial" w:eastAsia="Arial Unicode MS" w:cs="Arial"/>
                <w:sz w:val="22"/>
                <w:szCs w:val="22"/>
              </w:rPr>
            </w:pPr>
            <w:r>
              <w:rPr>
                <w:rFonts w:cs="Arial" w:ascii="Arial" w:hAnsi="Arial"/>
                <w:sz w:val="20"/>
                <w:szCs w:val="22"/>
              </w:rPr>
              <w:t>HRSG is rated at 95,000 lbs./hr and conventional boiler is rated at 120,000 lbs./hr. The two steam turbines are supplied from a common header off these two boilers. ST2 cannot be operated alone.</w:t>
            </w:r>
          </w:p>
        </w:tc>
      </w:tr>
      <w:tr>
        <w:trPr>
          <w:trHeight w:val="285" w:hRule="atLeast"/>
        </w:trPr>
        <w:tc>
          <w:tcPr>
            <w:tcW w:w="10080" w:type="dxa"/>
            <w:gridSpan w:val="6"/>
            <w:tcBorders/>
            <w:vAlign w:val="bottom"/>
          </w:tcPr>
          <w:p>
            <w:pPr>
              <w:pStyle w:val="Normal"/>
              <w:rPr>
                <w:rFonts w:ascii="Arial" w:hAnsi="Arial" w:eastAsia="Arial Unicode MS" w:cs="Arial"/>
                <w:sz w:val="22"/>
                <w:szCs w:val="22"/>
              </w:rPr>
            </w:pPr>
            <w:r>
              <w:rPr>
                <w:rFonts w:cs="Arial" w:ascii="Arial" w:hAnsi="Arial"/>
                <w:sz w:val="20"/>
                <w:szCs w:val="22"/>
              </w:rPr>
              <w:t>Availability factors are as of June 15, 2001, unless otherwise updated periodically.</w:t>
            </w:r>
          </w:p>
        </w:tc>
      </w:tr>
    </w:tbl>
    <w:p>
      <w:pPr>
        <w:pStyle w:val="Normal"/>
        <w:ind w:start="360" w:end="0"/>
        <w:rPr/>
      </w:pPr>
      <w:r>
        <w:rPr/>
      </w:r>
      <w:r>
        <w:br w:type="page"/>
      </w:r>
    </w:p>
    <w:p>
      <w:pPr>
        <w:pStyle w:val="Normal"/>
        <w:jc w:val="center"/>
        <w:rPr/>
      </w:pPr>
      <w:r>
        <w:rPr/>
        <w:t xml:space="preserve">Exhibit </w:t>
      </w:r>
    </w:p>
    <w:p>
      <w:pPr>
        <w:pStyle w:val="Normal"/>
        <w:jc w:val="center"/>
        <w:rPr/>
      </w:pPr>
      <w:r>
        <w:rPr/>
        <w:t>MDEA EPMI Incentive Fee Calculation</w:t>
      </w:r>
    </w:p>
    <w:p>
      <w:pPr>
        <w:pStyle w:val="Normal"/>
        <w:rPr/>
      </w:pPr>
      <w:r>
        <w:rPr/>
      </w:r>
    </w:p>
    <w:p>
      <w:pPr>
        <w:pStyle w:val="Normal"/>
        <w:jc w:val="both"/>
        <w:rPr/>
      </w:pPr>
      <w:r>
        <w:rPr/>
        <w:t>MDEA and EPMI are financially incented to create value within the transaction through Profit and Savings.  MDEA and EPMI will share the Profits and Savings according to the following percentages: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 xml:space="preserve">Total Daily Profit per MWh is calculated as the sum of the product of MWh sold and the realized market price less the Total Production Cost. </w:t>
      </w:r>
    </w:p>
    <w:p>
      <w:pPr>
        <w:pStyle w:val="Normal"/>
        <w:jc w:val="both"/>
        <w:rPr/>
      </w:pPr>
      <w:r>
        <w:rPr/>
      </w:r>
    </w:p>
    <w:p>
      <w:pPr>
        <w:pStyle w:val="Normal"/>
        <w:jc w:val="both"/>
        <w:rPr/>
      </w:pPr>
      <w:r>
        <w:rPr/>
        <w:t>Savings per MWh is calculated as the positive difference between (a) the MDEA Production Cost for units that would have run if market power were not purchased to serve system load, and (b) the delivered cost of market power purchased to serve system load.</w:t>
      </w:r>
    </w:p>
    <w:p>
      <w:pPr>
        <w:pStyle w:val="Normal"/>
        <w:jc w:val="both"/>
        <w:rPr/>
      </w:pPr>
      <w:r>
        <w:rPr/>
      </w:r>
    </w:p>
    <w:p>
      <w:pPr>
        <w:pStyle w:val="Normal"/>
        <w:jc w:val="both"/>
        <w:rPr/>
      </w:pPr>
      <w:r>
        <w:rPr/>
        <w:t>Total Daily Savings is the product of (a) the Savings per MWh calculated for the day, times (b) the total MWh for the same day of market power purchased to serve system load.</w:t>
      </w:r>
    </w:p>
    <w:p>
      <w:pPr>
        <w:pStyle w:val="Normal"/>
        <w:jc w:val="both"/>
        <w:rPr/>
      </w:pPr>
      <w:r>
        <w:rPr/>
      </w:r>
    </w:p>
    <w:p>
      <w:pPr>
        <w:pStyle w:val="Normal"/>
        <w:jc w:val="both"/>
        <w:rPr/>
      </w:pPr>
      <w:r>
        <w:rPr/>
        <w:t>Production Cost = [(delivered gas cost x unit heat rate) + VOM] + [unit start charge/MWh block]</w:t>
      </w:r>
    </w:p>
    <w:p>
      <w:pPr>
        <w:pStyle w:val="Normal"/>
        <w:jc w:val="both"/>
        <w:rPr/>
      </w:pPr>
      <w:r>
        <w:rPr/>
      </w:r>
    </w:p>
    <w:p>
      <w:pPr>
        <w:pStyle w:val="Normal"/>
        <w:jc w:val="both"/>
        <w:rPr/>
      </w:pPr>
      <w:r>
        <w:rPr/>
        <w:t xml:space="preserve">Delivered gas cost is the daily, midpoint posting for ________ under the </w:t>
      </w:r>
      <w:r>
        <w:rPr>
          <w:u w:val="single"/>
        </w:rPr>
        <w:t>Gas Daily</w:t>
      </w:r>
      <w:r>
        <w:rPr/>
        <w:t xml:space="preserve"> Daily Price Survey.</w:t>
      </w:r>
    </w:p>
    <w:p>
      <w:pPr>
        <w:pStyle w:val="Normal"/>
        <w:jc w:val="both"/>
        <w:rPr/>
      </w:pPr>
      <w:r>
        <w:rPr/>
      </w:r>
    </w:p>
    <w:p>
      <w:pPr>
        <w:pStyle w:val="Normal"/>
        <w:jc w:val="both"/>
        <w:rPr/>
      </w:pPr>
      <w:r>
        <w:rPr/>
        <w:t>Unit heat rate is the heat rate for each effected unit as specified in Exhibit “1”, Facilities.</w:t>
      </w:r>
    </w:p>
    <w:p>
      <w:pPr>
        <w:pStyle w:val="Normal"/>
        <w:jc w:val="both"/>
        <w:rPr/>
      </w:pPr>
      <w:r>
        <w:rPr/>
      </w:r>
    </w:p>
    <w:p>
      <w:pPr>
        <w:pStyle w:val="Normal"/>
        <w:jc w:val="both"/>
        <w:rPr/>
      </w:pPr>
      <w:r>
        <w:rPr/>
        <w:t>VOM is the variable operation and maintenance cost for operating each effected unit as specified in Exhibit “1”, Facilities.</w:t>
      </w:r>
    </w:p>
    <w:p>
      <w:pPr>
        <w:pStyle w:val="Normal"/>
        <w:jc w:val="both"/>
        <w:rPr/>
      </w:pPr>
      <w:r>
        <w:rPr/>
      </w:r>
    </w:p>
    <w:p>
      <w:pPr>
        <w:pStyle w:val="BodyText"/>
        <w:rPr/>
      </w:pPr>
      <w:r>
        <w:rPr/>
        <w:t>Unit Start Charge is the cost to start-up each effected unit as specified in Exhibit “1”, Facilities, and includes (a) start-up gas quantity required for the effected unit times the delivered gas cost.</w:t>
      </w:r>
    </w:p>
    <w:p>
      <w:pPr>
        <w:pStyle w:val="Normal"/>
        <w:rPr/>
      </w:pPr>
      <w:r>
        <w:rPr/>
      </w:r>
      <w:r>
        <w:br w:type="page"/>
      </w:r>
    </w:p>
    <w:p>
      <w:pPr>
        <w:pStyle w:val="Normal"/>
        <w:ind w:start="360" w:end="0"/>
        <w:jc w:val="center"/>
        <w:rPr/>
      </w:pPr>
      <w:r>
        <w:rPr/>
        <w:t>Exhibit</w:t>
      </w:r>
    </w:p>
    <w:p>
      <w:pPr>
        <w:pStyle w:val="Normal"/>
        <w:ind w:start="360" w:end="0"/>
        <w:jc w:val="center"/>
        <w:rPr>
          <w:rFonts w:ascii="Arial" w:hAnsi="Arial" w:cs="Arial"/>
        </w:rPr>
      </w:pPr>
      <w:r>
        <w:rPr/>
        <w:t>Target Production Cost Calculation</w:t>
      </w:r>
    </w:p>
    <w:p>
      <w:pPr>
        <w:pStyle w:val="Normal"/>
        <w:rPr>
          <w:rFonts w:ascii="Arial" w:hAnsi="Arial" w:cs="Arial"/>
        </w:rPr>
      </w:pPr>
      <w:r>
        <w:rPr>
          <w:rFonts w:cs="Arial" w:ascii="Arial" w:hAnsi="Arial"/>
        </w:rPr>
      </w:r>
    </w:p>
    <w:p>
      <w:pPr>
        <w:pStyle w:val="Normal"/>
        <w:rPr>
          <w:rFonts w:ascii="Palatino Linotype" w:hAnsi="Palatino Linotype" w:cs="Palatino Linotype"/>
          <w:sz w:val="20"/>
        </w:rPr>
      </w:pPr>
      <w:r>
        <w:rPr>
          <w:rFonts w:cs="Palatino Linotype" w:ascii="Palatino Linotype" w:hAnsi="Palatino Linotype"/>
          <w:sz w:val="20"/>
        </w:rPr>
        <w:t>The MDEA bogey is calculated based on the cost of generating power to meet the MDEA day-ahead load forecast after adding long term contract power.  The generated power is calculated by optimizing the available generating assets for heat rate.  The bogey is calculated for each hour then averaged for the day.  Generation is added during peak times for 16 hours if possible with a minimum run of 12 hours.</w:t>
      </w:r>
    </w:p>
    <w:p>
      <w:pPr>
        <w:pStyle w:val="Normal"/>
        <w:rPr>
          <w:rFonts w:ascii="Palatino Linotype" w:hAnsi="Palatino Linotype" w:cs="Palatino Linotype"/>
          <w:sz w:val="20"/>
        </w:rPr>
      </w:pPr>
      <w:r>
        <w:rPr>
          <w:rFonts w:cs="Palatino Linotype" w:ascii="Palatino Linotype" w:hAnsi="Palatino Linotype"/>
          <w:sz w:val="20"/>
        </w:rPr>
      </w:r>
    </w:p>
    <w:p>
      <w:pPr>
        <w:pStyle w:val="BodyText"/>
        <w:rPr/>
      </w:pPr>
      <w:r>
        <w:rPr/>
        <w:t>The largest component of the cost of generation is gas cost.  The gas cost per MW is calculated based on the assumed heat rates for each unit.  Since there are no manufacturer’s heat rate curves or equations for the MDEA units, the heat rates are based on data received from MDEA during the meetings held in Houston.  The next largest cost component is the start-up costs.  The start-up costs are also based on assumptions and were discussed during the Houston meeting.  As better data is received, the heat rate and start-up costs can be adjusted accordingly.  The other cost component is the fixed O&amp;M cost per MW.  The following table lists the assumptions used to determine heat rate, start-up and run costs.</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sz w:val="20"/>
          <w:lang w:val="en-CA" w:eastAsia="en-CA"/>
        </w:rPr>
      </w:pPr>
      <w:r>
        <w:rPr>
          <w:rFonts w:cs="Palatino Linotype" w:ascii="Palatino Linotype" w:hAnsi="Palatino Linotype"/>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-342900</wp:posOffset>
                </wp:positionH>
                <wp:positionV relativeFrom="paragraph">
                  <wp:posOffset>16510</wp:posOffset>
                </wp:positionV>
                <wp:extent cx="6280150" cy="2283460"/>
                <wp:effectExtent l="0" t="0" r="0" b="0"/>
                <wp:wrapNone/>
                <wp:docPr id="1" name="Frame1"/>
                <a:graphic xmlns:a="http://schemas.openxmlformats.org/drawingml/2006/main">
                  <a:graphicData uri="http://schemas.microsoft.com/office/word/2010/wordprocessingShape">
                    <wps:wsp>
                      <wps:cNvSpPr txBox="1"/>
                      <wps:spPr>
                        <a:xfrm>
                          <a:off x="0" y="0"/>
                          <a:ext cx="6280150" cy="2283460"/>
                        </a:xfrm>
                        <a:prstGeom prst="rect"/>
                        <a:solidFill>
                          <a:srgbClr val="FFFFFF">
                            <a:alpha val="0"/>
                          </a:srgbClr>
                        </a:solidFill>
                      </wps:spPr>
                      <wps:txbx>
                        <w:txbxContent>
                          <w:p>
                            <w:pPr>
                              <w:pStyle w:val="Normal"/>
                              <w:rPr/>
                            </w:pPr>
                            <w:r>
                              <w:rPr/>
                              <w:drawing>
                                <wp:inline distT="0" distB="0" distL="0" distR="0">
                                  <wp:extent cx="6087745" cy="21824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17" r="-6" b="-17"/>
                                          <a:stretch>
                                            <a:fillRect/>
                                          </a:stretch>
                                        </pic:blipFill>
                                        <pic:spPr bwMode="auto">
                                          <a:xfrm>
                                            <a:off x="0" y="0"/>
                                            <a:ext cx="6087745" cy="21824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94.5pt;height:179.8pt;mso-wrap-distance-left:9.05pt;mso-wrap-distance-right:9.05pt;mso-wrap-distance-top:0pt;mso-wrap-distance-bottom:0pt;margin-top:1.3pt;mso-position-vertical-relative:text;margin-left:-27pt;mso-position-horizontal-relative:text">
                <v:fill opacity="0f"/>
                <v:textbox inset="0.100694444444444in,0.0506944444444444in,0.100694444444444in,0.0506944444444444in">
                  <w:txbxContent>
                    <w:p>
                      <w:pPr>
                        <w:pStyle w:val="Normal"/>
                        <w:rPr/>
                      </w:pPr>
                      <w:r>
                        <w:rPr/>
                        <w:drawing>
                          <wp:inline distT="0" distB="0" distL="0" distR="0">
                            <wp:extent cx="6087745" cy="218249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17" r="-6" b="-17"/>
                                    <a:stretch>
                                      <a:fillRect/>
                                    </a:stretch>
                                  </pic:blipFill>
                                  <pic:spPr bwMode="auto">
                                    <a:xfrm>
                                      <a:off x="0" y="0"/>
                                      <a:ext cx="6087745" cy="2182495"/>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Palatino Linotype" w:hAnsi="Palatino Linotype" w:cs="Palatino Linotype"/>
          <w:sz w:val="20"/>
        </w:rPr>
      </w:pPr>
      <w:r>
        <w:rPr>
          <w:rFonts w:cs="Palatino Linotype" w:ascii="Palatino Linotype" w:hAnsi="Palatino Linotype"/>
          <w:sz w:val="20"/>
        </w:rPr>
      </w:r>
    </w:p>
    <w:p>
      <w:pPr>
        <w:pStyle w:val="BodyText"/>
        <w:rPr/>
      </w:pPr>
      <w:r>
        <w:rPr/>
        <w:t>The gas cost is determined by the delivered price to each city.  The gas cost is negotiated on a day-ahead basis with the gas suppliers.</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The load forecast is a correlation based on historical load data and forecast weather conditions.  A software package called MetrixND is used to calculate the forecast for a two-week forward period each day.</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An Excel spreadsheet application is used to calculate the bogey based on all of the above information.  This spreadsheet has macros that collect the load forecast data and the unit data.   The first step is to load the forecast load data.  Once this data in input, generation is added until the forecast load is met.  The generation is added based on the available units with the best heat rates.  The order of preference if all units are available is:  CD9, YZ1/3, CD8/6, YZ2, CD7.  The unit availability sheet faxed to Enron each day is used to determine which units are available.  </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 unit can only be added if its minimum MW output is at least as much as the requied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the required MWs are in the range of a generator it is added by itself.  For instance, if the forecast is 35MW and the long-term contracts fill in 17MW, the difference is 18MW.  CD9 would be added to the generation stack at 18MW.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two or more genrators are needed to meet the load, the heat rates are optimized.  For example if the forecast predicts a 45 MW load and the long-term contracts cover 10MW, there is still 35 MWs that need to be filled.  The first unit to be added is CD9.  CD9 adds a maximum of 22 MWs leaving 13 MW required.  The next unit to be added would be YZ1/3.  The outputs of the two generators are then adjusted so that the combined heat rate is lowest for an output of 35 MW.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Once the generation is added to the stack and the load is met, the bogey is calculated for each run hour.  The calculations for determining the bogey follow: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As an example, CD9 is set to generate 20MW for 16 hours and the gas price is $4.35/MMBtu.</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Gas Price = $4.35/MMBtu</w:t>
      </w:r>
    </w:p>
    <w:p>
      <w:pPr>
        <w:pStyle w:val="Normal"/>
        <w:rPr>
          <w:rFonts w:ascii="Palatino Linotype" w:hAnsi="Palatino Linotype" w:cs="Palatino Linotype"/>
          <w:sz w:val="20"/>
        </w:rPr>
      </w:pPr>
      <w:r>
        <w:rPr>
          <w:rFonts w:cs="Palatino Linotype" w:ascii="Palatino Linotype" w:hAnsi="Palatino Linotype"/>
          <w:sz w:val="20"/>
        </w:rPr>
        <w:t>MWhr/hr = 20 MWhr</w:t>
      </w:r>
    </w:p>
    <w:p>
      <w:pPr>
        <w:pStyle w:val="Normal"/>
        <w:rPr>
          <w:rFonts w:ascii="Palatino Linotype" w:hAnsi="Palatino Linotype" w:cs="Palatino Linotype"/>
          <w:sz w:val="20"/>
        </w:rPr>
      </w:pPr>
      <w:r>
        <w:rPr>
          <w:rFonts w:cs="Palatino Linotype" w:ascii="Palatino Linotype" w:hAnsi="Palatino Linotype"/>
          <w:sz w:val="20"/>
        </w:rPr>
        <w:t>Heat Rate for CD9 at 20 MW = 11.6 MMBtu/MWhr</w:t>
      </w:r>
    </w:p>
    <w:p>
      <w:pPr>
        <w:pStyle w:val="Normal"/>
        <w:rPr>
          <w:rFonts w:ascii="Palatino Linotype" w:hAnsi="Palatino Linotype" w:cs="Palatino Linotype"/>
          <w:sz w:val="20"/>
        </w:rPr>
      </w:pPr>
      <w:r>
        <w:rPr>
          <w:rFonts w:cs="Palatino Linotype" w:ascii="Palatino Linotype" w:hAnsi="Palatino Linotype"/>
          <w:sz w:val="20"/>
        </w:rPr>
        <w:t>Run Time = 16 hrs.</w:t>
      </w:r>
    </w:p>
    <w:p>
      <w:pPr>
        <w:pStyle w:val="Normal"/>
        <w:rPr>
          <w:rFonts w:ascii="Palatino Linotype" w:hAnsi="Palatino Linotype" w:cs="Palatino Linotype"/>
          <w:sz w:val="20"/>
        </w:rPr>
      </w:pPr>
      <w:r>
        <w:rPr>
          <w:rFonts w:cs="Palatino Linotype" w:ascii="Palatino Linotype" w:hAnsi="Palatino Linotype"/>
          <w:sz w:val="20"/>
        </w:rPr>
        <w:t>Start-up cost for CD9 = $1500</w:t>
      </w:r>
    </w:p>
    <w:p>
      <w:pPr>
        <w:pStyle w:val="Normal"/>
        <w:rPr>
          <w:rFonts w:ascii="Palatino Linotype" w:hAnsi="Palatino Linotype" w:cs="Palatino Linotype"/>
          <w:sz w:val="20"/>
        </w:rPr>
      </w:pPr>
      <w:r>
        <w:rPr>
          <w:rFonts w:cs="Palatino Linotype" w:ascii="Palatino Linotype" w:hAnsi="Palatino Linotype"/>
          <w:sz w:val="20"/>
        </w:rPr>
        <w:t>Fixed O&amp;M for CD9 = $2.00 /MWhr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Gas Cost/MWhr </w:t>
        <w:tab/>
        <w:tab/>
        <w:tab/>
        <w:t>=  $4.35/MMBtu * 11.6MMBtu/MWhr</w:t>
      </w:r>
    </w:p>
    <w:p>
      <w:pPr>
        <w:pStyle w:val="Normal"/>
        <w:rPr>
          <w:rFonts w:ascii="Palatino Linotype" w:hAnsi="Palatino Linotype" w:cs="Palatino Linotype"/>
          <w:sz w:val="20"/>
        </w:rPr>
      </w:pPr>
      <w:r>
        <w:rPr>
          <w:rFonts w:cs="Palatino Linotype" w:ascii="Palatino Linotype" w:hAnsi="Palatino Linotype"/>
          <w:sz w:val="20"/>
        </w:rPr>
        <w:tab/>
        <w:t xml:space="preserve">    </w:t>
        <w:tab/>
        <w:tab/>
        <w:tab/>
        <w:tab/>
        <w:t>=  $50.34/MWhr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Amortized Start-up Cost/MWHr</w:t>
        <w:tab/>
        <w:t>=  $1500/(16Hrs*20MWhr)</w:t>
      </w:r>
    </w:p>
    <w:p>
      <w:pPr>
        <w:pStyle w:val="Normal"/>
        <w:rPr>
          <w:rFonts w:ascii="Palatino Linotype" w:hAnsi="Palatino Linotype" w:cs="Palatino Linotype"/>
          <w:sz w:val="20"/>
        </w:rPr>
      </w:pPr>
      <w:r>
        <w:rPr>
          <w:rFonts w:cs="Palatino Linotype" w:ascii="Palatino Linotype" w:hAnsi="Palatino Linotype"/>
          <w:sz w:val="20"/>
        </w:rPr>
        <w:tab/>
        <w:tab/>
        <w:tab/>
        <w:tab/>
        <w:tab/>
        <w:t>=  $4.69/MWhr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Fixed O&amp;M for CD9/MWhr</w:t>
        <w:tab/>
        <w:tab/>
        <w:t>= $2.00/MWhr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These are then added to get the total cost per 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Gen Cost/MWhr </w:t>
        <w:tab/>
        <w:tab/>
        <w:tab/>
        <w:t xml:space="preserve">= Gas Cost + Amortized Start-up Cost + Fixed O&amp;M Cost </w:t>
        <w:tab/>
        <w:tab/>
        <w:tab/>
        <w:tab/>
        <w:tab/>
        <w:t>= $50.34 + $4.69 + $2.00</w:t>
      </w:r>
    </w:p>
    <w:p>
      <w:pPr>
        <w:pStyle w:val="Normal"/>
        <w:rPr>
          <w:rFonts w:ascii="Palatino Linotype" w:hAnsi="Palatino Linotype" w:cs="Palatino Linotype"/>
          <w:sz w:val="20"/>
        </w:rPr>
      </w:pPr>
      <w:r>
        <w:rPr>
          <w:rFonts w:cs="Palatino Linotype" w:ascii="Palatino Linotype" w:hAnsi="Palatino Linotype"/>
          <w:sz w:val="20"/>
        </w:rPr>
        <w:tab/>
        <w:tab/>
        <w:tab/>
        <w:tab/>
        <w:tab/>
        <w:t>= $57.03</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For a 16 hour run, the costs are averaged for the entire run and the bogey is determined.  In this case, 20MW are generated for each hour so the bogey would be  $57.03.</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more than one generator is running, a weighted average heat rate is used to determine the bogey using the calculations above.</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 sample screen print of the bogey calculation spreadsheet is shown below: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lang w:val="en-CA" w:eastAsia="en-CA"/>
        </w:rPr>
      </w:pPr>
      <w:r>
        <w:rPr>
          <w:rFonts w:cs="Palatino Linotype" w:ascii="Palatino Linotype" w:hAnsi="Palatino Linotype"/>
          <w:sz w:val="20"/>
          <w:lang w:val="en-CA" w:eastAsia="en-CA"/>
        </w:rPr>
      </w:r>
      <w:r>
        <mc:AlternateContent>
          <mc:Choice Requires="wps">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600700" cy="4229100"/>
                <wp:effectExtent l="0" t="0" r="0" b="0"/>
                <wp:wrapSquare wrapText="bothSides"/>
                <wp:docPr id="4" name="Frame2"/>
                <a:graphic xmlns:a="http://schemas.openxmlformats.org/drawingml/2006/main">
                  <a:graphicData uri="http://schemas.microsoft.com/office/word/2010/wordprocessingShape">
                    <wps:wsp>
                      <wps:cNvSpPr txBox="1"/>
                      <wps:spPr>
                        <a:xfrm>
                          <a:off x="0" y="0"/>
                          <a:ext cx="5600700" cy="4229100"/>
                        </a:xfrm>
                        <a:prstGeom prst="rect"/>
                        <a:solidFill>
                          <a:srgbClr val="FFFFFF"/>
                        </a:solidFill>
                      </wps:spPr>
                      <wps:txbx>
                        <w:txbxContent>
                          <w:p>
                            <w:pPr>
                              <w:pStyle w:val="Normal"/>
                              <w:rPr/>
                            </w:pPr>
                            <w:r>
                              <w:rPr/>
                              <w:object w:dxaOrig="15377" w:dyaOrig="114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31.3pt;height:321.9pt" filled="f" o:ole="">
                                  <v:imagedata r:id="rId5" o:title=""/>
                                </v:shape>
                                <o:OLEObject Type="Embed" ProgID="" ShapeID="ole_rId4" DrawAspect="Content" ObjectID="_1451529676" r:id="rId4"/>
                              </w:object>
                            </w:r>
                          </w:p>
                        </w:txbxContent>
                      </wps:txbx>
                      <wps:bodyPr anchor="t" lIns="92075" tIns="46355" rIns="92075" bIns="46355">
                        <a:noAutofit/>
                      </wps:bodyPr>
                    </wps:wsp>
                  </a:graphicData>
                </a:graphic>
              </wp:anchor>
            </w:drawing>
          </mc:Choice>
          <mc:Fallback>
            <w:pict>
              <v:rect fillcolor="#FFFFFF" style="position:absolute;rotation:-0;width:441pt;height:333pt;mso-wrap-distance-left:9.05pt;mso-wrap-distance-right:9.05pt;mso-wrap-distance-top:0pt;mso-wrap-distance-bottom:0pt;margin-top:0pt;mso-position-vertical-relative:text;margin-left:0pt;mso-position-horizontal-relative:text">
                <v:textbox inset="0.100694444444444in,0.0506944444444444in,0.100694444444444in,0.0506944444444444in">
                  <w:txbxContent>
                    <w:p>
                      <w:pPr>
                        <w:pStyle w:val="Normal"/>
                        <w:rPr/>
                      </w:pPr>
                      <w:r>
                        <w:rPr/>
                        <w:object w:dxaOrig="15377" w:dyaOrig="114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1.3pt;height:321.9pt" filled="f" o:ole="">
                            <v:imagedata r:id="rId7" o:title=""/>
                          </v:shape>
                          <o:OLEObject Type="Embed" ProgID="" ShapeID="ole_rId6" DrawAspect="Content" ObjectID="_1926234340" r:id="rId6"/>
                        </w:object>
                      </w:r>
                    </w:p>
                  </w:txbxContent>
                </v:textbox>
                <w10:wrap type="square"/>
              </v:rect>
            </w:pict>
          </mc:Fallback>
        </mc:AlternateContent>
      </w:r>
    </w:p>
    <w:p>
      <w:pPr>
        <w:pStyle w:val="Normal"/>
        <w:rPr>
          <w:rFonts w:ascii="Palatino Linotype" w:hAnsi="Palatino Linotype" w:cs="Palatino Linotype"/>
          <w:sz w:val="20"/>
        </w:rPr>
      </w:pPr>
      <w:r>
        <w:rPr>
          <w:rFonts w:cs="Palatino Linotype" w:ascii="Palatino Linotype" w:hAnsi="Palatino Linotype"/>
          <w:sz w:val="20"/>
        </w:rPr>
        <w:t>The sheet shows at the top left the gas price for the day for each city, the date of the forecast, the bogey price, which generators are comitted and how many MWs are dispatched for the day with the average heat rate.  To the right is a chart showing the forecast load with the contract and generation stack required to meet the load.  At the bottom of the sheet is an hour by hour table of the load forecast, the contract MWs, total generation, total generation costs and generation costs per MWhr.  A copy of this sheet will be saved for each day until a database with all of the data can be created.</w:t>
      </w:r>
    </w:p>
    <w:p>
      <w:pPr>
        <w:pStyle w:val="Normal"/>
        <w:rPr>
          <w:rFonts w:ascii="Palatino Linotype" w:hAnsi="Palatino Linotype" w:cs="Palatino Linotype"/>
          <w:sz w:val="20"/>
        </w:rPr>
      </w:pPr>
      <w:r>
        <w:rPr>
          <w:rFonts w:cs="Palatino Linotype" w:ascii="Palatino Linotype" w:hAnsi="Palatino Linotype"/>
          <w:sz w:val="20"/>
        </w:rPr>
      </w:r>
    </w:p>
    <w:p>
      <w:pPr>
        <w:pStyle w:val="Normal"/>
        <w:ind w:start="360" w:end="0"/>
        <w:jc w:val="center"/>
        <w:rPr>
          <w:rFonts w:ascii="Palatino Linotype" w:hAnsi="Palatino Linotype" w:cs="Palatino Linotype"/>
          <w:sz w:val="20"/>
        </w:rPr>
      </w:pPr>
      <w:r>
        <w:rPr>
          <w:rFonts w:cs="Palatino Linotype" w:ascii="Palatino Linotype" w:hAnsi="Palatino Linotype"/>
          <w:sz w:val="20"/>
        </w:rPr>
      </w:r>
      <w:r>
        <w:br w:type="page"/>
      </w:r>
    </w:p>
    <w:p>
      <w:pPr>
        <w:pStyle w:val="Normal"/>
        <w:ind w:start="360" w:end="0"/>
        <w:jc w:val="center"/>
        <w:rPr/>
      </w:pPr>
      <w:r>
        <w:rPr/>
        <w:t>Exhibit</w:t>
      </w:r>
    </w:p>
    <w:p>
      <w:pPr>
        <w:pStyle w:val="Normal"/>
        <w:ind w:start="360" w:end="0"/>
        <w:jc w:val="center"/>
        <w:rPr/>
      </w:pPr>
      <w:r>
        <w:rPr/>
        <w:t>Invoicing and Payment Schedule</w:t>
      </w:r>
    </w:p>
    <w:p>
      <w:pPr>
        <w:pStyle w:val="Normal"/>
        <w:ind w:start="360" w:end="0"/>
        <w:jc w:val="center"/>
        <w:rPr/>
      </w:pPr>
      <w:r>
        <w:rPr/>
      </w:r>
    </w:p>
    <w:tbl>
      <w:tblPr>
        <w:tblW w:w="4400" w:type="dxa"/>
        <w:jc w:val="start"/>
        <w:tblInd w:w="2355" w:type="dxa"/>
        <w:tblLayout w:type="fixed"/>
        <w:tblCellMar>
          <w:top w:w="15" w:type="dxa"/>
          <w:start w:w="15" w:type="dxa"/>
          <w:bottom w:w="0" w:type="dxa"/>
          <w:end w:w="15" w:type="dxa"/>
        </w:tblCellMar>
      </w:tblPr>
      <w:tblGrid>
        <w:gridCol w:w="2140"/>
        <w:gridCol w:w="2260"/>
      </w:tblGrid>
      <w:tr>
        <w:trPr>
          <w:trHeight w:val="270" w:hRule="atLeast"/>
        </w:trPr>
        <w:tc>
          <w:tcPr>
            <w:tcW w:w="2140" w:type="dxa"/>
            <w:tcBorders>
              <w:top w:val="single" w:sz="8" w:space="0" w:color="000000"/>
              <w:start w:val="single" w:sz="8" w:space="0" w:color="000000"/>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Invoicing Date</w:t>
            </w:r>
          </w:p>
        </w:tc>
        <w:tc>
          <w:tcPr>
            <w:tcW w:w="226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Payment Date</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5,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13,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9,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17,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6,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14,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4,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12,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8,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16,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6,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14,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3,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11,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4,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12,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9,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17,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6,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14,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4,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12,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8,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16,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5,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13,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3,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11,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5,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13,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9,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17,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6,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14,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6,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14,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3,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11,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8,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16, 2003</w:t>
            </w:r>
          </w:p>
        </w:tc>
      </w:tr>
      <w:tr>
        <w:trPr>
          <w:trHeight w:val="270" w:hRule="atLeast"/>
        </w:trPr>
        <w:tc>
          <w:tcPr>
            <w:tcW w:w="2140"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5, 2003</w:t>
            </w:r>
          </w:p>
        </w:tc>
        <w:tc>
          <w:tcPr>
            <w:tcW w:w="2260"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13, 2003</w:t>
            </w:r>
          </w:p>
        </w:tc>
      </w:tr>
    </w:tbl>
    <w:p>
      <w:pPr>
        <w:pStyle w:val="Normal"/>
        <w:ind w:start="360" w:end="0"/>
        <w:rPr/>
      </w:pPr>
      <w:r>
        <w:rPr/>
      </w:r>
      <w:r>
        <w:br w:type="page"/>
      </w:r>
    </w:p>
    <w:p>
      <w:pPr>
        <w:pStyle w:val="Normal"/>
        <w:ind w:start="360" w:end="0"/>
        <w:rPr/>
      </w:pPr>
      <w:r>
        <w:rPr/>
      </w:r>
    </w:p>
    <w:p>
      <w:pPr>
        <w:pStyle w:val="Normal"/>
        <w:ind w:start="360" w:end="0"/>
        <w:jc w:val="center"/>
        <w:rPr/>
      </w:pPr>
      <w:r>
        <w:rPr/>
        <w:t>Exhibit</w:t>
      </w:r>
    </w:p>
    <w:p>
      <w:pPr>
        <w:pStyle w:val="Normal"/>
        <w:ind w:start="360" w:end="0"/>
        <w:jc w:val="center"/>
        <w:rPr/>
      </w:pPr>
      <w:r>
        <w:rPr/>
        <w:t>Cancellation Fee Schedule</w:t>
      </w:r>
    </w:p>
    <w:p>
      <w:pPr>
        <w:pStyle w:val="Normal"/>
        <w:ind w:start="360" w:end="0"/>
        <w:rPr/>
      </w:pPr>
      <w:r>
        <w:rPr/>
      </w:r>
    </w:p>
    <w:tbl>
      <w:tblPr>
        <w:tblW w:w="2522" w:type="dxa"/>
        <w:jc w:val="start"/>
        <w:tblInd w:w="3450" w:type="dxa"/>
        <w:tblLayout w:type="fixed"/>
        <w:tblCellMar>
          <w:top w:w="0" w:type="dxa"/>
          <w:start w:w="30" w:type="dxa"/>
          <w:bottom w:w="0" w:type="dxa"/>
          <w:end w:w="30" w:type="dxa"/>
        </w:tblCellMar>
      </w:tblPr>
      <w:tblGrid>
        <w:gridCol w:w="1166"/>
        <w:gridCol w:w="1356"/>
      </w:tblGrid>
      <w:tr>
        <w:trPr>
          <w:trHeight w:val="247" w:hRule="atLeast"/>
        </w:trPr>
        <w:tc>
          <w:tcPr>
            <w:tcW w:w="1166" w:type="dxa"/>
            <w:tcBorders>
              <w:top w:val="single" w:sz="12" w:space="0" w:color="000000"/>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Jul-01</w:t>
            </w:r>
          </w:p>
        </w:tc>
        <w:tc>
          <w:tcPr>
            <w:tcW w:w="1356" w:type="dxa"/>
            <w:tcBorders>
              <w:top w:val="single" w:sz="12" w:space="0" w:color="000000"/>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276,414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Aug-01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265,254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Sep-01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254,019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Oct-01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242,710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Nov-01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231,325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Dec-01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219,864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Jan-02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208,327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Feb-02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196,713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Mar-02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185,022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Apr-02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173,253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May-02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161,405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Jun-02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149,478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Jul-02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137,472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Aug-02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125,385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Sep-02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113,218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Oct-02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100,970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Nov-02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88,640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Dec-02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76,229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Jan-03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63,734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Feb-03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51,156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Mar-03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38,494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Apr-03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25,748 </w:t>
            </w:r>
          </w:p>
        </w:tc>
      </w:tr>
      <w:tr>
        <w:trPr>
          <w:trHeight w:val="262" w:hRule="atLeast"/>
        </w:trPr>
        <w:tc>
          <w:tcPr>
            <w:tcW w:w="1166" w:type="dxa"/>
            <w:tcBorders>
              <w:start w:val="single" w:sz="12" w:space="0" w:color="000000"/>
              <w:bottom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May-03</w:t>
            </w:r>
          </w:p>
        </w:tc>
        <w:tc>
          <w:tcPr>
            <w:tcW w:w="1356" w:type="dxa"/>
            <w:tcBorders>
              <w:bottom w:val="single" w:sz="12" w:space="0" w:color="000000"/>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12,917 </w:t>
            </w:r>
          </w:p>
        </w:tc>
      </w:tr>
    </w:tbl>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7">
    <w:name w:val="heading 7"/>
    <w:basedOn w:val="Normal"/>
    <w:next w:val="Normal"/>
    <w:qFormat/>
    <w:pPr>
      <w:keepNext w:val="true"/>
      <w:numPr>
        <w:ilvl w:val="6"/>
        <w:numId w:val="1"/>
      </w:numPr>
      <w:outlineLvl w:val="6"/>
    </w:pPr>
    <w:rPr>
      <w:b/>
      <w:bCs/>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Times New Roman Bold;Times New Roman" w:hAnsi="Times New Roman Bold;Times New Roman" w:cs="BauerBodoni-Bold;Arial Rounded MT Bold"/>
      <w:b/>
      <w:i w:val="false"/>
      <w:sz w:val="24"/>
    </w:rPr>
  </w:style>
  <w:style w:type="character" w:styleId="WW8Num71z1">
    <w:name w:val="WW8Num71z1"/>
    <w:qFormat/>
    <w:rPr>
      <w:rFonts w:ascii="Times New Roman" w:hAnsi="Times New Roman" w:cs="Times New Roman"/>
      <w:b w:val="false"/>
      <w:i w:val="false"/>
      <w:sz w:val="24"/>
    </w:rPr>
  </w:style>
  <w:style w:type="character" w:styleId="WW8Num72z0">
    <w:name w:val="WW8Num72z0"/>
    <w:qFormat/>
    <w:rPr/>
  </w:style>
  <w:style w:type="character" w:styleId="WW8Num73z0">
    <w:name w:val="WW8Num73z0"/>
    <w:qFormat/>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b w:val="false"/>
      <w:i w:val="false"/>
    </w:rPr>
  </w:style>
  <w:style w:type="character" w:styleId="WW8Num82z2">
    <w:name w:val="WW8Num82z2"/>
    <w:qFormat/>
    <w:rPr/>
  </w:style>
  <w:style w:type="character" w:styleId="WW8Num83z0">
    <w:name w:val="WW8Num83z0"/>
    <w:qFormat/>
    <w:rPr/>
  </w:style>
  <w:style w:type="character" w:styleId="WW8Num84z0">
    <w:name w:val="WW8Num84z0"/>
    <w:qFormat/>
    <w:rPr>
      <w:b w:val="false"/>
      <w:i w:val="false"/>
    </w:rPr>
  </w:style>
  <w:style w:type="character" w:styleId="WW8Num84z2">
    <w:name w:val="WW8Num84z2"/>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89z1">
    <w:name w:val="WW8Num89z1"/>
    <w:qFormat/>
    <w:rPr>
      <w:b w:val="false"/>
      <w:i w:val="false"/>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rFonts w:ascii="Times" w:hAnsi="Times" w:cs="Times"/>
      <w:b/>
      <w:i w:val="false"/>
      <w:sz w:val="24"/>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b w:val="false"/>
      <w:i w:val="false"/>
    </w:rPr>
  </w:style>
  <w:style w:type="character" w:styleId="WW8Num101z2">
    <w:name w:val="WW8Num101z2"/>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val="false"/>
      <w:i w:val="false"/>
    </w:rPr>
  </w:style>
  <w:style w:type="character" w:styleId="WW8Num118z1">
    <w:name w:val="WW8Num118z1"/>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rFonts w:ascii="Times New Roman" w:hAnsi="Times New Roman" w:cs="Times New Roman"/>
      <w:b w:val="false"/>
      <w:i w:val="false"/>
      <w:sz w:val="24"/>
    </w:rPr>
  </w:style>
  <w:style w:type="character" w:styleId="WW8Num123z1">
    <w:name w:val="WW8Num123z1"/>
    <w:qFormat/>
    <w:rPr/>
  </w:style>
  <w:style w:type="character" w:styleId="WW8Num124z0">
    <w:name w:val="WW8Num124z0"/>
    <w:qFormat/>
    <w:rPr>
      <w:b w:val="false"/>
      <w:i w:val="false"/>
    </w:rPr>
  </w:style>
  <w:style w:type="character" w:styleId="WW8Num124z2">
    <w:name w:val="WW8Num124z2"/>
    <w:qFormat/>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3z1">
    <w:name w:val="WW8Num133z1"/>
    <w:qFormat/>
    <w:rPr>
      <w:b w:val="false"/>
      <w:i w:val="false"/>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b w:val="false"/>
      <w:i w:val="false"/>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b w:val="false"/>
      <w:i w:val="false"/>
      <w:caps/>
      <w:strike w:val="false"/>
      <w:dstrike w:val="false"/>
      <w:outline w:val="false"/>
      <w:shadow w:val="false"/>
      <w:vanish w:val="false"/>
      <w:color w:val="auto"/>
      <w:position w:val="0"/>
      <w:sz w:val="24"/>
      <w:u w:val="none"/>
      <w:vertAlign w:val="baseline"/>
    </w:rPr>
  </w:style>
  <w:style w:type="character" w:styleId="WW8Num142z1">
    <w:name w:val="WW8Num14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5z1">
    <w:name w:val="WW8Num145z1"/>
    <w:qFormat/>
    <w:rPr>
      <w:b w:val="false"/>
      <w:i w:val="false"/>
    </w:rPr>
  </w:style>
  <w:style w:type="character" w:styleId="WW8Num146z0">
    <w:name w:val="WW8Num146z0"/>
    <w:qFormat/>
    <w:rPr/>
  </w:style>
  <w:style w:type="character" w:styleId="WW8Num146z1">
    <w:name w:val="WW8Num146z1"/>
    <w:qFormat/>
    <w:rPr>
      <w:b w:val="false"/>
      <w:i w:val="false"/>
    </w:rPr>
  </w:style>
  <w:style w:type="character" w:styleId="WW8Num147z0">
    <w:name w:val="WW8Num147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5z0">
    <w:name w:val="WW8Num155z0"/>
    <w:qFormat/>
    <w:rPr>
      <w:b w:val="false"/>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6z1">
    <w:name w:val="WW8Num166z1"/>
    <w:qFormat/>
    <w:rPr>
      <w:rFonts w:ascii="Times New Roman" w:hAnsi="Times New Roman" w:cs="Times New Roman"/>
      <w:sz w:val="24"/>
    </w:rPr>
  </w:style>
  <w:style w:type="character" w:styleId="WW8Num167z0">
    <w:name w:val="WW8Num167z0"/>
    <w:qFormat/>
    <w:rPr/>
  </w:style>
  <w:style w:type="character" w:styleId="WW8Num167z1">
    <w:name w:val="WW8Num167z1"/>
    <w:qFormat/>
    <w:rPr>
      <w:b w:val="false"/>
      <w:i w:val="false"/>
    </w:rPr>
  </w:style>
  <w:style w:type="character" w:styleId="WW8Num168z0">
    <w:name w:val="WW8Num168z0"/>
    <w:qFormat/>
    <w:rPr>
      <w:rFonts w:ascii="Times New Roman" w:hAnsi="Times New Roman" w:cs="Times New Roman"/>
      <w:b w:val="false"/>
      <w:i w:val="false"/>
      <w:sz w:val="24"/>
    </w:rPr>
  </w:style>
  <w:style w:type="character" w:styleId="WW8Num168z1">
    <w:name w:val="WW8Num168z1"/>
    <w:qFormat/>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style>
  <w:style w:type="character" w:styleId="WW8Num171z1">
    <w:name w:val="WW8Num171z1"/>
    <w:qFormat/>
    <w:rPr>
      <w:b w:val="false"/>
      <w:i w:val="false"/>
    </w:rPr>
  </w:style>
  <w:style w:type="character" w:styleId="WW8Num172z0">
    <w:name w:val="WW8Num172z0"/>
    <w:qFormat/>
    <w:rPr>
      <w:rFonts w:ascii="Times New Roman" w:hAnsi="Times New Roman" w:cs="Times New Roman"/>
      <w:b w:val="false"/>
      <w:i w:val="false"/>
      <w:sz w:val="24"/>
      <w:u w:val="none"/>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9z0">
    <w:name w:val="WW8Num179z0"/>
    <w:qFormat/>
    <w:rPr/>
  </w:style>
  <w:style w:type="character" w:styleId="WW8Num180z0">
    <w:name w:val="WW8Num180z0"/>
    <w:qFormat/>
    <w:rPr>
      <w:rFonts w:ascii="Times New Roman" w:hAnsi="Times New Roman" w:cs="Times New Roman"/>
      <w:b w:val="false"/>
      <w:i w:val="false"/>
      <w:sz w:val="24"/>
      <w:u w:val="none"/>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6z1">
    <w:name w:val="WW8Num196z1"/>
    <w:qFormat/>
    <w:rPr>
      <w:b w:val="false"/>
      <w:i w:val="false"/>
    </w:rPr>
  </w:style>
  <w:style w:type="character" w:styleId="WW8Num197z0">
    <w:name w:val="WW8Num197z0"/>
    <w:qFormat/>
    <w:rPr>
      <w:rFonts w:ascii="Times New Roman" w:hAnsi="Times New Roman" w:cs="Times New Roman"/>
      <w:b w:val="false"/>
      <w:i w:val="false"/>
      <w:sz w:val="24"/>
      <w:u w:val="none"/>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rFonts w:ascii="Times New Roman" w:hAnsi="Times New Roman" w:cs="Times New Roman"/>
      <w:b/>
      <w:i w:val="false"/>
      <w:caps/>
      <w:sz w:val="24"/>
    </w:rPr>
  </w:style>
  <w:style w:type="character" w:styleId="WW8Num206z1">
    <w:name w:val="WW8Num206z1"/>
    <w:qFormat/>
    <w:rPr>
      <w:rFonts w:ascii="Times New Roman" w:hAnsi="Times New Roman" w:cs="Times New Roman"/>
      <w:b w:val="false"/>
      <w:i w:val="false"/>
      <w:sz w:val="24"/>
      <w:u w:val="none"/>
    </w:rPr>
  </w:style>
  <w:style w:type="character" w:styleId="WW8Num206z2">
    <w:name w:val="WW8Num206z2"/>
    <w:qFormat/>
    <w:rPr>
      <w:rFonts w:ascii="Times New Roman" w:hAnsi="Times New Roman" w:cs="Times New Roman"/>
      <w:b w:val="false"/>
      <w:i w:val="false"/>
      <w:sz w:val="24"/>
    </w:rPr>
  </w:style>
  <w:style w:type="character" w:styleId="WW8Num206z5">
    <w:name w:val="WW8Num206z5"/>
    <w:qFormat/>
    <w:rPr>
      <w:rFonts w:ascii="Times New Roman" w:hAnsi="Times New Roman" w:cs="Times New Roman"/>
      <w:b/>
      <w:i w:val="false"/>
      <w:sz w:val="24"/>
      <w:u w:val="none"/>
    </w:rPr>
  </w:style>
  <w:style w:type="character" w:styleId="WW8Num207z0">
    <w:name w:val="WW8Num207z0"/>
    <w:qFormat/>
    <w:rPr/>
  </w:style>
  <w:style w:type="character" w:styleId="WW8Num208z0">
    <w:name w:val="WW8Num208z0"/>
    <w:qFormat/>
    <w:rPr>
      <w:i w:val="false"/>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3z0">
    <w:name w:val="WW8Num223z0"/>
    <w:qFormat/>
    <w:rPr/>
  </w:style>
  <w:style w:type="character" w:styleId="WW8Num224z0">
    <w:name w:val="WW8Num224z0"/>
    <w:qFormat/>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2z0">
    <w:name w:val="WW8Num232z0"/>
    <w:qFormat/>
    <w:rPr>
      <w:rFonts w:ascii="Times New Roman" w:hAnsi="Times New Roman" w:cs="Times New Roman"/>
      <w:b w:val="false"/>
      <w:i w:val="false"/>
      <w:sz w:val="24"/>
    </w:rPr>
  </w:style>
  <w:style w:type="character" w:styleId="WW8Num232z1">
    <w:name w:val="WW8Num232z1"/>
    <w:qFormat/>
    <w:rPr/>
  </w:style>
  <w:style w:type="character" w:styleId="WW8Num233z0">
    <w:name w:val="WW8Num233z0"/>
    <w:qFormat/>
    <w:rPr>
      <w:rFonts w:ascii="Symbol" w:hAnsi="Symbol" w:cs="Symbol"/>
    </w:rPr>
  </w:style>
  <w:style w:type="character" w:styleId="WW8Num234z0">
    <w:name w:val="WW8Num234z0"/>
    <w:qFormat/>
    <w:rPr/>
  </w:style>
  <w:style w:type="character" w:styleId="WW8Num234z1">
    <w:name w:val="WW8Num234z1"/>
    <w:qFormat/>
    <w:rPr>
      <w:rFonts w:ascii="Times New Roman" w:hAnsi="Times New Roman" w:cs="Times New Roman"/>
      <w:sz w:val="24"/>
    </w:rPr>
  </w:style>
  <w:style w:type="character" w:styleId="WW8Num235z0">
    <w:name w:val="WW8Num235z0"/>
    <w:qFormat/>
    <w:rPr>
      <w:u w:val="single"/>
    </w:rPr>
  </w:style>
  <w:style w:type="character" w:styleId="WW8Num236z0">
    <w:name w:val="WW8Num236z0"/>
    <w:qFormat/>
    <w:rPr/>
  </w:style>
  <w:style w:type="character" w:styleId="WW8Num237z0">
    <w:name w:val="WW8Num237z0"/>
    <w:qFormat/>
    <w:rPr>
      <w:b w:val="false"/>
      <w:i w:val="false"/>
    </w:rPr>
  </w:style>
  <w:style w:type="character" w:styleId="WW8Num237z2">
    <w:name w:val="WW8Num237z2"/>
    <w:qFormat/>
    <w:rPr/>
  </w:style>
  <w:style w:type="character" w:styleId="WW8Num238z0">
    <w:name w:val="WW8Num238z0"/>
    <w:qFormat/>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7z1">
    <w:name w:val="WW8Num247z1"/>
    <w:qFormat/>
    <w:rPr>
      <w:b w:val="false"/>
      <w:i w:val="false"/>
    </w:rPr>
  </w:style>
  <w:style w:type="character" w:styleId="WW8Num248z0">
    <w:name w:val="WW8Num248z0"/>
    <w:qFormat/>
    <w:rPr/>
  </w:style>
  <w:style w:type="character" w:styleId="WW8Num249z0">
    <w:name w:val="WW8Num249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b w:val="false"/>
      <w:u w:val="none"/>
    </w:rPr>
  </w:style>
  <w:style w:type="character" w:styleId="WW8Num259z0">
    <w:name w:val="WW8Num259z0"/>
    <w:qFormat/>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b w:val="false"/>
      <w:i w:val="false"/>
    </w:rPr>
  </w:style>
  <w:style w:type="character" w:styleId="WW8Num271z2">
    <w:name w:val="WW8Num271z2"/>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8z0">
    <w:name w:val="WW8Num278z0"/>
    <w:qFormat/>
    <w:rPr/>
  </w:style>
  <w:style w:type="character" w:styleId="WW8Num279z0">
    <w:name w:val="WW8Num279z0"/>
    <w:qFormat/>
    <w:rPr/>
  </w:style>
  <w:style w:type="character" w:styleId="WW8Num280z0">
    <w:name w:val="WW8Num280z0"/>
    <w:qFormat/>
    <w:rPr/>
  </w:style>
  <w:style w:type="character" w:styleId="WW8Num281z0">
    <w:name w:val="WW8Num281z0"/>
    <w:qFormat/>
    <w:rPr>
      <w:rFonts w:ascii="Symbol" w:hAnsi="Symbol" w:cs="Symbol"/>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2z0">
    <w:name w:val="WW8Num282z0"/>
    <w:qFormat/>
    <w:rPr/>
  </w:style>
  <w:style w:type="character" w:styleId="WW8Num284z0">
    <w:name w:val="WW8Num284z0"/>
    <w:qFormat/>
    <w:rPr/>
  </w:style>
  <w:style w:type="character" w:styleId="WW8Num285z0">
    <w:name w:val="WW8Num285z0"/>
    <w:qFormat/>
    <w:rPr/>
  </w:style>
  <w:style w:type="character" w:styleId="WW8NumSt33z0">
    <w:name w:val="WW8NumSt33z0"/>
    <w:qFormat/>
    <w:rPr>
      <w:rFonts w:ascii="Symbol" w:hAnsi="Symbol" w:cs="Symbol"/>
    </w:rPr>
  </w:style>
  <w:style w:type="character" w:styleId="WW8NumSt57z0">
    <w:name w:val="WW8NumSt57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Palatino Linotype" w:hAnsi="Palatino Linotype" w:cs="Palatino Linotype"/>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oleObject" Target="embeddings/oleObject2.bin"/><Relationship Id="rId7" Type="http://schemas.openxmlformats.org/officeDocument/2006/relationships/image" Target="media/image2.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2001-06-01T11:38:00Z</dcterms:created>
  <dc:creator>rrorscha</dc:creator>
  <dc:description/>
  <dc:language>en-CA</dc:language>
  <cp:lastModifiedBy>rrorscha</cp:lastModifiedBy>
  <cp:lastPrinted>2001-06-01T15:34:00Z</cp:lastPrinted>
  <dcterms:modified xsi:type="dcterms:W3CDTF">2001-06-01T19:33:00Z</dcterms:modified>
  <cp:revision>10</cp:revision>
  <dc:subject/>
  <dc:title>Existing Contracted Resources Power and Gas</dc:title>
</cp:coreProperties>
</file>