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footnotes.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rPr/>
      </w:pPr>
      <w:r>
        <w:rPr/>
        <w:t>How to Get 90% of the Capital Cost of a Plant that Lasts 30 Years Back in Only Three Short Years at the Expense of Californians – Just Ask CDWR  (Calpine Los Esteros,)</w:t>
      </w:r>
    </w:p>
    <w:p>
      <w:pPr>
        <w:pStyle w:val="Normal"/>
        <w:rPr/>
      </w:pPr>
      <w:r>
        <w:rPr/>
      </w:r>
    </w:p>
    <w:p>
      <w:pPr>
        <w:pStyle w:val="Normal"/>
        <w:rPr/>
      </w:pPr>
      <w:r>
        <w:rPr/>
        <w:t>A new combined cycle generating plant is forecast to cost $600 per kW-(in year 2000 dollars) by the California Energy Commission.  Increasing the cost by 9% to cover inflation through 2003, one has $654/kW.</w:t>
      </w:r>
    </w:p>
    <w:p>
      <w:pPr>
        <w:pStyle w:val="Normal"/>
        <w:rPr/>
      </w:pPr>
      <w:r>
        <w:rPr/>
      </w:r>
    </w:p>
    <w:p>
      <w:pPr>
        <w:pStyle w:val="Normal"/>
        <w:rPr/>
      </w:pPr>
      <w:r>
        <w:rPr/>
        <w:t xml:space="preserve">A number of the contracts provide excessive annual payments, but the poster child for such excesses is Calpine’s Los Esteros project, a 220 MW combined cycle plant.  The plant will ultimately serve US Dataport, a large server farm, but in the short term is contracted to be paid by CDWR. </w:t>
      </w:r>
    </w:p>
    <w:p>
      <w:pPr>
        <w:pStyle w:val="Normal"/>
        <w:rPr/>
      </w:pPr>
      <w:r>
        <w:rPr/>
      </w:r>
    </w:p>
    <w:p>
      <w:pPr>
        <w:pStyle w:val="Normal"/>
        <w:rPr/>
      </w:pPr>
      <w:r>
        <w:rPr/>
        <w:t>The developers of this project have a three-year contract with CDWR, signed on June 11, 2001.  The contract pays a total of $148.7 million in capacity payments for 11 months of simple-cycle operation and 25 months of combined cycle operation or $676 per kW.  Subtracting $16-kW-year for fixed O&amp;M and capital additions yields $628/kW.</w:t>
      </w:r>
      <w:r>
        <w:rPr>
          <w:rStyle w:val="FootnoteCharacters"/>
          <w:rStyle w:val="FootnoteReference"/>
        </w:rPr>
        <w:footnoteReference w:id="2"/>
      </w:r>
      <w:r>
        <w:rPr/>
        <w:t xml:space="preserve">  </w:t>
      </w:r>
    </w:p>
    <w:p>
      <w:pPr>
        <w:pStyle w:val="Normal"/>
        <w:rPr/>
      </w:pPr>
      <w:r>
        <w:rPr/>
      </w:r>
    </w:p>
    <w:p>
      <w:pPr>
        <w:pStyle w:val="Normal"/>
        <w:rPr/>
      </w:pPr>
      <w:r>
        <w:rPr/>
        <w:t xml:space="preserve">Tthe CDWR contract for this plant thus allows Calpine to recover over 90% of the plant’s capital costs from ratepayers in three short years.  With the plant’s costs paid almost entirely by ratepayers up front, any profits earned by Calpine for serving US Dataport will simply be gravy for the stockholders.  </w:t>
      </w:r>
    </w:p>
    <w:p>
      <w:pPr>
        <w:pStyle w:val="Normal"/>
        <w:rPr/>
      </w:pPr>
      <w:r>
        <w:rPr/>
      </w:r>
    </w:p>
    <w:p>
      <w:pPr>
        <w:pStyle w:val="Normal"/>
        <w:rPr/>
      </w:pPr>
      <w:r>
        <w:rPr/>
        <w:t xml:space="preserve">A typical regulated utility gets only about 13% of the plant’s costs back every year in return, depreciation and property taxes.  For our $654/kW plant owned by a utility, the payment received would be about 40% of what Calpine is being paid. </w:t>
      </w:r>
    </w:p>
    <w:p>
      <w:pPr>
        <w:pStyle w:val="Normal"/>
        <w:rPr/>
      </w:pPr>
      <w:r>
        <w:rPr/>
      </w:r>
    </w:p>
    <w:p>
      <w:pPr>
        <w:pStyle w:val="Normal"/>
        <w:rPr/>
      </w:pPr>
      <w:r>
        <w:rPr/>
        <w:t>Calpine is claiming that the no-project alternative of not building or delaying its project is infeasible under CEQA because the project must meet the CDWR contract deadlines.  We suggest respectfully, that the ratepayers would be better served if the plant sold its output into the open market while waiting for US Dataport’s loads to ramp up.</w:t>
      </w:r>
      <w:r>
        <w:br w:type="page"/>
      </w:r>
    </w:p>
    <w:p>
      <w:pPr>
        <w:pStyle w:val="Normal"/>
        <w:rPr/>
      </w:pPr>
      <w:r>
        <w:rPr/>
      </w:r>
    </w:p>
    <w:p>
      <w:pPr>
        <w:pStyle w:val="Heading1"/>
        <w:ind w:hanging="0" w:start="0"/>
        <w:jc w:val="center"/>
        <w:rPr/>
      </w:pPr>
      <w:r>
        <w:rPr/>
        <w:t>Peakers Also Earn a 32% Return for Calpine</w:t>
      </w:r>
    </w:p>
    <w:p>
      <w:pPr>
        <w:pStyle w:val="Normal"/>
        <w:rPr/>
      </w:pPr>
      <w:r>
        <w:rPr/>
      </w:r>
    </w:p>
    <w:p>
      <w:pPr>
        <w:pStyle w:val="Normal"/>
        <w:rPr/>
      </w:pPr>
      <w:r>
        <w:rPr/>
        <w:t>Calpine has also proposed to build 495 MW of peaking generation which it has contracted to the state for a 20 year period.  The payments for these plants over 20 years amount to $1,548 million (nominal) or $691 million (net present value at 10%) for plants that have a total cost of $400-$500/kW or $200 to $250 million.  Even after considering income taxes, Calpine is earning a return in excess of 32% on the total cost of the project.</w:t>
      </w:r>
      <w:r>
        <w:rPr>
          <w:rStyle w:val="FootnoteCharacters"/>
          <w:rStyle w:val="FootnoteReference"/>
        </w:rPr>
        <w:footnoteReference w:id="3"/>
      </w:r>
      <w:r>
        <w:rPr/>
        <w:t xml:space="preserve"> – higher if debt leverage can be used.  </w:t>
      </w:r>
    </w:p>
    <w:p>
      <w:pPr>
        <w:pStyle w:val="Normal"/>
        <w:rPr/>
      </w:pPr>
      <w:r>
        <w:rPr/>
      </w:r>
    </w:p>
    <w:p>
      <w:pPr>
        <w:pStyle w:val="Normal"/>
        <w:rPr/>
      </w:pPr>
      <w:r>
        <w:rPr/>
        <w:t>By comparison, if a regulated utility built the plants, the total revenue requirement for the first 20 years would be less than 40% of what we are paying Calpine -- $609 million nominal or $289 million present-valued at 10%, and the utility would still have the plant available at the end of that time.  California Power Authority Financing would be even cheaper ($395 million nominal or $184 million present valued), a reduction from the cost of this contract of nearly 75%.</w:t>
      </w:r>
    </w:p>
    <w:p>
      <w:pPr>
        <w:pStyle w:val="Normal"/>
        <w:rPr/>
      </w:pPr>
      <w:r>
        <w:rPr/>
      </w:r>
    </w:p>
    <w:p>
      <w:pPr>
        <w:pStyle w:val="Normal"/>
        <w:rPr/>
      </w:pPr>
      <w:r>
        <w:rPr/>
        <w:t xml:space="preserve">Calpine also receives $73/MWh every time one of these units is turned on – a windfall unless gas prices are substantially above $6/MMBtu. </w:t>
      </w:r>
    </w:p>
    <w:p>
      <w:pPr>
        <w:pStyle w:val="Normal"/>
        <w:rPr/>
      </w:pPr>
      <w:r>
        <w:rPr/>
      </w:r>
      <w:r>
        <w:br w:type="page"/>
      </w:r>
    </w:p>
    <w:p>
      <w:pPr>
        <w:pStyle w:val="Normal"/>
        <w:jc w:val="center"/>
        <w:rPr>
          <w:b/>
          <w:bCs/>
        </w:rPr>
      </w:pPr>
      <w:r>
        <w:rPr>
          <w:b/>
          <w:bCs/>
        </w:rPr>
        <w:t>Allegheny and Williams:  A Tale of Two Contracts for the Same Plants</w:t>
      </w:r>
    </w:p>
    <w:p>
      <w:pPr>
        <w:pStyle w:val="Normal"/>
        <w:rPr>
          <w:b/>
          <w:bCs/>
        </w:rPr>
      </w:pPr>
      <w:r>
        <w:rPr>
          <w:b/>
          <w:bCs/>
        </w:rPr>
      </w:r>
    </w:p>
    <w:p>
      <w:pPr>
        <w:pStyle w:val="Normal"/>
        <w:rPr/>
      </w:pPr>
      <w:r>
        <w:rPr/>
        <w:t>The Allegheny and Williams contracts cover different slices of the same existing power plants (Alamitos, Redondo Beach, and Huntington Beach).  The three powerplants are all inefficient gas-fired generators that used to be owned by Edison, and it makes no sense to offer either of them a ten-year high-capacity-factor take-or-pay contract that crowds out renewables and efficient gas.</w:t>
      </w:r>
    </w:p>
    <w:p>
      <w:pPr>
        <w:pStyle w:val="Normal"/>
        <w:rPr/>
      </w:pPr>
      <w:r>
        <w:rPr/>
      </w:r>
    </w:p>
    <w:p>
      <w:pPr>
        <w:pStyle w:val="Normal"/>
        <w:rPr/>
      </w:pPr>
      <w:r>
        <w:rPr/>
        <w:t xml:space="preserve">But while both contracts are too inflexibly generous to inefficient power generation,  the two contracts have different costs and different levels of reliability.  And Williams is clearly worse, offering both higher cost and lower reliability. </w:t>
      </w:r>
    </w:p>
    <w:p>
      <w:pPr>
        <w:pStyle w:val="Normal"/>
        <w:rPr/>
      </w:pPr>
      <w:r>
        <w:rPr/>
      </w:r>
    </w:p>
    <w:p>
      <w:pPr>
        <w:pStyle w:val="Normal"/>
        <w:rPr/>
      </w:pPr>
      <w:r>
        <w:rPr/>
        <w:t>Allegheny’s contract (signed March 21, 2001) offers power 24 hours a day for $61/MWh through 2011 with a slightly larger amount of 6X16  power offered at a higher price in 2003 (average price $61.20 over 11 years)..  The maximum contract level is 1000 MW.  The state is required to purchase contracted amounts of power from Allegheny whenever Allegheny has it available for sale, but Allegheny has the right to curtail deliveries due to plant outages..  Allegheny guarantees to deliver power at a 90% availability factor (i.e., be available to deliver 90% of the energy that the contract would deliver if deliveries were at full contract capacity in every hour) measured over a calendar year.</w:t>
      </w:r>
    </w:p>
    <w:p>
      <w:pPr>
        <w:pStyle w:val="Normal"/>
        <w:rPr/>
      </w:pPr>
      <w:r>
        <w:rPr/>
      </w:r>
    </w:p>
    <w:p>
      <w:pPr>
        <w:pStyle w:val="Normal"/>
        <w:rPr/>
      </w:pPr>
      <w:r>
        <w:rPr/>
        <w:t xml:space="preserve">Williams offers eleven years of power from the same plants, but under very different terms and conditions that are far less advantageous to the state.  </w:t>
      </w:r>
    </w:p>
    <w:p>
      <w:pPr>
        <w:pStyle w:val="Normal"/>
        <w:rPr/>
      </w:pPr>
      <w:r>
        <w:rPr/>
      </w:r>
    </w:p>
    <w:p>
      <w:pPr>
        <w:pStyle w:val="Normal"/>
        <w:rPr/>
      </w:pPr>
      <w:r>
        <w:rPr/>
        <w:t>The Williams contract, signed on February 21, 2001, offers power ramping up to 1050 MW from the same units at an average price of $68.40/MWh over eleven years.  Unlike Allegheny, Williams demands that the State pay its emissions credit costs as a surcharge on the base price level, thus insulating itself from the risk of the emissions credit market at the expense of the State’s ratepayers.</w:t>
      </w:r>
      <w:r>
        <w:rPr>
          <w:rStyle w:val="FootnoteCharacters"/>
          <w:rStyle w:val="FootnoteReference"/>
        </w:rPr>
        <w:footnoteReference w:id="4"/>
      </w:r>
    </w:p>
    <w:p>
      <w:pPr>
        <w:pStyle w:val="Normal"/>
        <w:rPr/>
      </w:pPr>
      <w:r>
        <w:rPr/>
      </w:r>
    </w:p>
    <w:p>
      <w:pPr>
        <w:pStyle w:val="Normal"/>
        <w:rPr/>
      </w:pPr>
      <w:r>
        <w:rPr/>
        <w:t>Like Allegheny, Williams requires that CDWR purchase its generation and take electricity whenever Williams wants to deliver it (at up to an 81% capacity factor based on a mix of baseload and 6X16 contracts).  However, Williams also reserves the right not to deliver generation when its powerplants are down.  As a result, we expect to see energy from these plants at only a 61% capacity factor.  The contract provides for no penalty unless its generating unit availability falls below 70%, limits total cumulative penalties to $30 million (less than 0.1% of the total contract value of about $3.4 billion)  and allows Williams to “work off” penalties by offsetting them against future year output in excess of 82% availability.</w:t>
      </w:r>
    </w:p>
    <w:p>
      <w:pPr>
        <w:pStyle w:val="Normal"/>
        <w:rPr/>
      </w:pPr>
      <w:r>
        <w:rPr/>
      </w:r>
    </w:p>
    <w:p>
      <w:pPr>
        <w:pStyle w:val="Normal"/>
        <w:rPr/>
      </w:pPr>
      <w:r>
        <w:rPr/>
        <w:t xml:space="preserve">Remember that Williams (together with its plant operator AES) was the entity that settled a claim by the ISO that it falsified outage reports to CAISO on a Reliability Must Run Unit to manipulate market prices by agreeing to pay $8 million of an $11 million penalty demanded by CAISO. </w:t>
      </w:r>
    </w:p>
    <w:p>
      <w:pPr>
        <w:pStyle w:val="Normal"/>
        <w:rPr/>
      </w:pPr>
      <w:r>
        <w:rPr/>
      </w:r>
    </w:p>
    <w:p>
      <w:pPr>
        <w:pStyle w:val="Normal"/>
        <w:rPr/>
      </w:pPr>
      <w:r>
        <w:rPr/>
        <w:t xml:space="preserve">The unreasonableness of the Williams contract is proven by the Allegheny contract for the same plants.  Allegheny can provide power with no liability for emissions credits at a cost of $61/MWh and a guarantee of 90% availability.  Under these circumstances, why should CDWR pay Williams $68/MWh </w:t>
      </w:r>
      <w:r>
        <w:rPr>
          <w:u w:val="single"/>
        </w:rPr>
        <w:t>plus</w:t>
      </w:r>
      <w:r>
        <w:rPr/>
        <w:t xml:space="preserve"> an open-ended liability for emissions credits for less reliable power that is expected to be available only about 75% of the time and where there is no penalty unless power is unavailable for more than 30% of the time?  </w:t>
      </w:r>
    </w:p>
    <w:p>
      <w:pPr>
        <w:pStyle w:val="Normal"/>
        <w:rPr/>
      </w:pPr>
      <w:r>
        <w:rPr/>
      </w:r>
    </w:p>
    <w:p>
      <w:pPr>
        <w:pStyle w:val="Normal"/>
        <w:rPr/>
      </w:pPr>
      <w:r>
        <w:rPr/>
        <w:t>A further good question to be asked is why is CDWR contracting for ten years for old inefficient, unreliable gas plants at all, when new efficient generation, both renewable and gas, is available.  It is arguable that neither Williams nor Allegheny should have been given 10 years of protection and high rates for inefficient generators.  This argument is particularly strong  because both of these entities offered only about a third of their maximum amount of power in 2001 when the state needed it the most)., but the high-price, low-reliability Williams contract is particularly bad.</w:t>
      </w:r>
    </w:p>
    <w:p>
      <w:pPr>
        <w:pStyle w:val="Normal"/>
        <w:rPr/>
      </w:pPr>
      <w:r>
        <w:rPr/>
      </w:r>
    </w:p>
    <w:p>
      <w:pPr>
        <w:pStyle w:val="Normal"/>
        <w:rPr/>
      </w:pPr>
      <w:r>
        <w:rPr/>
        <w:t>While renewable resources are branded as “unreliable” and “too expensive,” existing utility generators.that have been caught manipulating outage data by CAISO are rewarded for offering inefficient gas-fired generation of substandard reliability.</w:t>
      </w:r>
      <w:r>
        <w:br w:type="page"/>
      </w:r>
    </w:p>
    <w:p>
      <w:pPr>
        <w:pStyle w:val="Normal"/>
        <w:jc w:val="center"/>
        <w:rPr>
          <w:b/>
          <w:bCs/>
        </w:rPr>
      </w:pPr>
      <w:r>
        <w:rPr>
          <w:b/>
          <w:bCs/>
        </w:rPr>
        <w:t>Buying Too Much Power at Too High a Price from an Inefficient Plant</w:t>
        <w:br/>
        <w:t xml:space="preserve"> (Alliance Colton)</w:t>
      </w:r>
    </w:p>
    <w:p>
      <w:pPr>
        <w:pStyle w:val="Normal"/>
        <w:rPr>
          <w:b/>
          <w:bCs/>
        </w:rPr>
      </w:pPr>
      <w:r>
        <w:rPr>
          <w:b/>
          <w:bCs/>
        </w:rPr>
      </w:r>
    </w:p>
    <w:p>
      <w:pPr>
        <w:pStyle w:val="Normal"/>
        <w:rPr/>
      </w:pPr>
      <w:r>
        <w:rPr/>
        <w:t>The Alliance Colton generating plant is a peaking plant with eight individual generators (called “Units” in the contract), four each at two substations in Colton.  Each of the eight generators produces 10.1 MW each at 59 degrees (81 MW total), but their output degrades dramatically with higher temperatures, to about 9 MW each at 82 degrees (72 MW total) and to 8.1 MW (65 MW total) on the hot days when the plant is really needed when the temperature reaches 100 degrees.</w:t>
      </w:r>
    </w:p>
    <w:p>
      <w:pPr>
        <w:pStyle w:val="Normal"/>
        <w:rPr/>
      </w:pPr>
      <w:r>
        <w:rPr/>
      </w:r>
    </w:p>
    <w:p>
      <w:pPr>
        <w:pStyle w:val="Normal"/>
        <w:rPr/>
      </w:pPr>
      <w:r>
        <w:rPr/>
        <w:t xml:space="preserve">The generating plants are also extremely inefficient.  They require almost twice as much fuel to generate a kilowatt-hour as new modern combined cycle generators (13,300 Btu/kWh at 82 degrees and nearly 14,000 Btu/kWh at 100 degrees).  They even require 25 percent more fuel per kWh than some larger combustion turbine peakers offered in other contracts, as well as 15-30 percent more fuel than most existing steam powerplants.  </w:t>
      </w:r>
    </w:p>
    <w:p>
      <w:pPr>
        <w:pStyle w:val="Normal"/>
        <w:rPr/>
      </w:pPr>
      <w:r>
        <w:rPr/>
      </w:r>
    </w:p>
    <w:p>
      <w:pPr>
        <w:pStyle w:val="Normal"/>
        <w:rPr/>
      </w:pPr>
      <w:r>
        <w:rPr/>
        <w:t xml:space="preserve">With these characteristics, one would expect that the plants would be among the last units to operate.  A fair contract for these plants would pay a capacity payment but would give the state the opportunity to dispatch the plant and run it as much or as little as it needs to run it by paying fuel and O&amp;M costs.  The plant would be cranked up on hot summer afternoons (and would also be a hedge against high prices arising from market manipulation).  It would not be required to run at times when cheaper power from more efficient plants is available, but the state could call upon it </w:t>
      </w:r>
      <w:r>
        <w:rPr>
          <w:u w:val="single"/>
        </w:rPr>
        <w:t>whenever</w:t>
      </w:r>
      <w:r>
        <w:rPr/>
        <w:t xml:space="preserve"> it needed to (subject to environmental restrictions on hours of operation).  The state signed a number of contracts like that (albeit with capacity prices that are too high) with entities such as GWF and Calpine.</w:t>
      </w:r>
    </w:p>
    <w:p>
      <w:pPr>
        <w:pStyle w:val="Normal"/>
        <w:rPr/>
      </w:pPr>
      <w:r>
        <w:rPr/>
      </w:r>
    </w:p>
    <w:p>
      <w:pPr>
        <w:pStyle w:val="Normal"/>
        <w:rPr/>
      </w:pPr>
      <w:r>
        <w:rPr/>
        <w:t xml:space="preserve">But for Alliance Colton, the deal was even sweeter.  </w:t>
      </w:r>
    </w:p>
    <w:p>
      <w:pPr>
        <w:pStyle w:val="Normal"/>
        <w:rPr/>
      </w:pPr>
      <w:r>
        <w:rPr/>
      </w:r>
    </w:p>
    <w:p>
      <w:pPr>
        <w:pStyle w:val="Normal"/>
        <w:rPr/>
      </w:pPr>
      <w:r>
        <w:rPr/>
        <w:t xml:space="preserve">Over a ten year contract, the plant will receive $210 million in capacity payments (including extra payments for 4000 hours of take-or-pay delivery in 2003-04).  That is $2919 per kilowatt ($265 per kw per year)  in capacity payments.  A typical combustion turbine powerplant costs about $400-$500 per kilowatt to build, although an inefficient small unit like this one may be more expensive..  So the owners of Alliance Colton are getting six times the cost of building a typical plant over ten years – less than a two-year payback.  And at the end of ten years, they still own the plant!  The capacity payment also contains an upward “blip” in 2002-2004.  It exceeds $400/kW in those three years – 80-90% of the </w:t>
      </w:r>
      <w:r>
        <w:rPr>
          <w:u w:val="single"/>
        </w:rPr>
        <w:t>total</w:t>
      </w:r>
      <w:r>
        <w:rPr/>
        <w:t xml:space="preserve"> cost of a typical peaker in each individual year..  </w:t>
      </w:r>
    </w:p>
    <w:p>
      <w:pPr>
        <w:pStyle w:val="Normal"/>
        <w:rPr/>
      </w:pPr>
      <w:r>
        <w:rPr/>
      </w:r>
    </w:p>
    <w:p>
      <w:pPr>
        <w:pStyle w:val="Normal"/>
        <w:rPr/>
      </w:pPr>
      <w:r>
        <w:rPr/>
        <w:t>On top of these fixed costs are the fuel costs.  Those costs vary directly with gas prices but would be 6.65 cents/kWh if gas were $5/MMBtu, because of the plant’s low efficiency.  If the state chooses not to run the plant during a guaranteed unit hour, it can save the fuel cost but must still pay the capacity and hourly charges.</w:t>
      </w:r>
    </w:p>
    <w:p>
      <w:pPr>
        <w:pStyle w:val="Normal"/>
        <w:rPr/>
      </w:pPr>
      <w:r>
        <w:rPr/>
      </w:r>
    </w:p>
    <w:p>
      <w:pPr>
        <w:pStyle w:val="Normal"/>
        <w:rPr/>
      </w:pPr>
      <w:r>
        <w:rPr/>
        <w:t xml:space="preserve">At the same time, the owners of the plant have the right to sell the plant into the open market when the state does not want the power and limits the number of hours when the state may buy power to 2000 hours in 2001, 4000 hours in 2002-2004, and 2500 hours in 2005-2010. </w:t>
      </w:r>
    </w:p>
    <w:p>
      <w:pPr>
        <w:pStyle w:val="Normal"/>
        <w:rPr/>
      </w:pPr>
      <w:r>
        <w:rPr/>
      </w:r>
    </w:p>
    <w:p>
      <w:pPr>
        <w:pStyle w:val="Normal"/>
        <w:rPr/>
      </w:pPr>
      <w:r>
        <w:rPr/>
        <w:t xml:space="preserve">The state was required to pay $31 million in 2003-2004 to increase the guaranteed hours of operation from 1000 hours to 4000 hours, a particularly disturbing wrinkle in the contract.  </w:t>
      </w:r>
    </w:p>
    <w:p>
      <w:pPr>
        <w:pStyle w:val="Normal"/>
        <w:rPr/>
      </w:pPr>
      <w:r>
        <w:rPr/>
      </w:r>
    </w:p>
    <w:p>
      <w:pPr>
        <w:pStyle w:val="Normal"/>
        <w:rPr/>
      </w:pPr>
      <w:r>
        <w:rPr/>
        <w:t xml:space="preserve">It simply escapes us why the state was willing to commit in advance to pay $30 million (7.2 cents/kWh </w:t>
      </w:r>
      <w:r>
        <w:rPr>
          <w:b/>
          <w:bCs/>
          <w:u w:val="single"/>
        </w:rPr>
        <w:t>excluding</w:t>
      </w:r>
      <w:r>
        <w:rPr/>
        <w:t xml:space="preserve"> fuel prices) to increase the guaranteed operation hours from 1000 to 4000 hours in 2003-2004 (when a significant surplus is developing ) for a plant of such low efficiency.  If the plant were to actually be operated for 4000 hours, and if it displaced other gas steam or peaking generation with a more typical heat rate (10,500 Btu/kWh), it would unnecessarily waste 806 billion Btu (about 800 million cubic feet) of natural gas per year and emit an extra 48,000 tons of carbon dioxide per year into the atmosphere.  If the plant were not expected to run for 4000 hours, why are we paying extra for it to do so?</w:t>
      </w:r>
    </w:p>
    <w:p>
      <w:pPr>
        <w:pStyle w:val="Normal"/>
        <w:rPr/>
      </w:pPr>
      <w:r>
        <w:rPr/>
      </w:r>
    </w:p>
    <w:p>
      <w:pPr>
        <w:pStyle w:val="Normal"/>
        <w:rPr/>
      </w:pPr>
      <w:r>
        <w:rPr/>
        <w:t xml:space="preserve">In addition to the huge capacity payments, CDWR must also pay 15 cents/kWh in fixed payments (not counting fuel costs) for each hour that it wants to dispatch the plant in excess of 1000 hours in 2005-2010.  Moreover, the state cannot simply call up the plant on a given afternoon to ask for power in excess of 1000 hours, it must arrange those Additional Unit Hours </w:t>
      </w:r>
      <w:r>
        <w:rPr>
          <w:u w:val="single"/>
        </w:rPr>
        <w:t>a year in advance</w:t>
      </w:r>
      <w:r>
        <w:rPr/>
        <w:t xml:space="preserve">!  </w:t>
      </w:r>
    </w:p>
    <w:p>
      <w:pPr>
        <w:pStyle w:val="Normal"/>
        <w:rPr/>
      </w:pPr>
      <w:r>
        <w:rPr/>
      </w:r>
    </w:p>
    <w:p>
      <w:pPr>
        <w:pStyle w:val="Normal"/>
        <w:rPr/>
      </w:pPr>
      <w:r>
        <w:rPr/>
        <w:t>CDWR simply forfeited the flexibility of peaker plant operations by agreeing to such a one-sided contract.  CDWR must decide a year in advance if it wants to run the plant more than 1000 hours, it paid an exorbitant amount in advance to buy 4000 hours of capacity in 2003-2004, and it must pay 21 cents/kWh (assuming gas at $5/MMBtu) for each hour in excess of 1000 hours starting in 2005.</w:t>
      </w:r>
    </w:p>
    <w:p>
      <w:pPr>
        <w:pStyle w:val="Normal"/>
        <w:rPr/>
      </w:pPr>
      <w:r>
        <w:rPr/>
      </w:r>
    </w:p>
    <w:p>
      <w:pPr>
        <w:pStyle w:val="Normal"/>
        <w:rPr/>
      </w:pPr>
      <w:r>
        <w:rPr/>
        <w:t xml:space="preserve">In sum, the Alliance Colton Contract costs ratepayers $210 million for only 65 MW of capacity under adverse hot-weather conditions, before a single-kilowatt-hour is produced, and it doesn’t give ratepayers the flexibility to which they should be entitled from a peaking powerplant.  </w:t>
      </w:r>
    </w:p>
    <w:p>
      <w:pPr>
        <w:pStyle w:val="Normal"/>
        <w:rPr/>
      </w:pPr>
      <w:r>
        <w:rPr/>
      </w:r>
    </w:p>
    <w:p>
      <w:pPr>
        <w:pStyle w:val="Normal"/>
        <w:rPr/>
      </w:pPr>
      <w:r>
        <w:rPr/>
        <w:t>To place this contract in perspective, we need to compare what the state did buy in the Alliance Colton contract versus what it could have bought.</w:t>
      </w:r>
    </w:p>
    <w:p>
      <w:pPr>
        <w:pStyle w:val="Normal"/>
        <w:rPr/>
      </w:pPr>
      <w:r>
        <w:rPr/>
      </w:r>
    </w:p>
    <w:p>
      <w:pPr>
        <w:pStyle w:val="Normal"/>
        <w:numPr>
          <w:ilvl w:val="0"/>
          <w:numId w:val="3"/>
        </w:numPr>
        <w:rPr/>
      </w:pPr>
      <w:r>
        <w:rPr/>
        <w:t xml:space="preserve">The $210 million in </w:t>
      </w:r>
      <w:r>
        <w:rPr>
          <w:u w:val="single"/>
        </w:rPr>
        <w:t>fixed</w:t>
      </w:r>
      <w:r>
        <w:rPr/>
        <w:t xml:space="preserve"> costs over ten years could have bought </w:t>
      </w:r>
      <w:r>
        <w:rPr>
          <w:b/>
          <w:bCs/>
          <w:u w:val="single"/>
        </w:rPr>
        <w:t>the output</w:t>
      </w:r>
      <w:r>
        <w:rPr/>
        <w:t xml:space="preserve"> of 40 MW of baseload geothermal power (313 GWh per year) for the next ten years for the price of the Clearwood Geothermal contract ($67.40/MWh) or 143 MW of wind power (377 GWh per year) at the price of the PG&amp;E Energy Trading wind contract ($58.50/MWh).  Instead, the state bought </w:t>
      </w:r>
      <w:r>
        <w:rPr>
          <w:b/>
          <w:bCs/>
        </w:rPr>
        <w:t>the right to generate</w:t>
      </w:r>
      <w:r>
        <w:rPr/>
        <w:t xml:space="preserve"> 65-80 MW of power (less under hot conditions when it is needed the most) for only 23% of the time (an average of only 130 GWh per year, but including a large number of hours in 2003-2004 when peaking power is not needed), </w:t>
      </w:r>
      <w:r>
        <w:rPr>
          <w:b/>
          <w:bCs/>
          <w:u w:val="single"/>
        </w:rPr>
        <w:t>and still pay for gas</w:t>
      </w:r>
      <w:r>
        <w:rPr/>
        <w:t>.  If gas ends up in the range of $5/Mmbtu,  the gas cost alone in cents per kWh (without any fixed costs) would exceed the wind contract cost and would be almost equal to the total cost of the Clearwood contract.</w:t>
      </w:r>
    </w:p>
    <w:p>
      <w:pPr>
        <w:pStyle w:val="Normal"/>
        <w:rPr/>
      </w:pPr>
      <w:r>
        <w:rPr/>
      </w:r>
    </w:p>
    <w:p>
      <w:pPr>
        <w:pStyle w:val="Normal"/>
        <w:numPr>
          <w:ilvl w:val="0"/>
          <w:numId w:val="3"/>
        </w:numPr>
        <w:rPr/>
      </w:pPr>
      <w:r>
        <w:rPr/>
        <w:t xml:space="preserve">For the amount paid for this contract in 2001-2004 alone, the State could have </w:t>
      </w:r>
      <w:r>
        <w:rPr>
          <w:b/>
          <w:bCs/>
          <w:u w:val="single"/>
        </w:rPr>
        <w:t>built</w:t>
      </w:r>
      <w:r>
        <w:rPr/>
        <w:t xml:space="preserve"> 114  MW of wind power (at $1000/kW)  and received 299 GWh of free energy </w:t>
      </w:r>
      <w:r>
        <w:rPr>
          <w:b/>
          <w:bCs/>
          <w:u w:val="single"/>
        </w:rPr>
        <w:t>per year</w:t>
      </w:r>
      <w:r>
        <w:rPr/>
        <w:t xml:space="preserve"> (30% capacity factor) for the next 30 years.  Instead it bought the rights to generate only 252 GWh of energy after paying the price of gas (an additional 6.7 cents/kWh if gas were $5/Mmbtu </w:t>
      </w:r>
      <w:r>
        <w:rPr>
          <w:b/>
          <w:bCs/>
          <w:u w:val="single"/>
        </w:rPr>
        <w:t>during only those four years)</w:t>
      </w:r>
      <w:r>
        <w:rPr/>
        <w:t xml:space="preserve">. </w:t>
      </w:r>
    </w:p>
    <w:p>
      <w:pPr>
        <w:pStyle w:val="Normal"/>
        <w:rPr/>
      </w:pPr>
      <w:r>
        <w:rPr/>
      </w:r>
    </w:p>
    <w:p>
      <w:pPr>
        <w:pStyle w:val="Normal"/>
        <w:rPr/>
      </w:pPr>
      <w:r>
        <w:rPr/>
        <w:t>In sum, the Alliance Colton contract is a prime example of how to dramatically overpay for a product of limited value while throwing away needed flexibility by agreeing to one-sided contract terms.  It is 1.7 times as expensive as the Calpine peaking contract, even though that Calpine contract is already overpriced to give Calpine a 32% rate of return.</w:t>
      </w:r>
    </w:p>
    <w:p>
      <w:pPr>
        <w:pStyle w:val="Normal"/>
        <w:rPr/>
      </w:pPr>
      <w:r>
        <w:rPr/>
      </w:r>
      <w:r>
        <w:br w:type="page"/>
      </w:r>
    </w:p>
    <w:p>
      <w:pPr>
        <w:pStyle w:val="Normal"/>
        <w:jc w:val="center"/>
        <w:rPr>
          <w:b/>
          <w:bCs/>
        </w:rPr>
      </w:pPr>
      <w:r>
        <w:rPr>
          <w:b/>
          <w:bCs/>
        </w:rPr>
        <w:t>Rewarding Environmental Blackmail (Mirant)</w:t>
      </w:r>
    </w:p>
    <w:p>
      <w:pPr>
        <w:pStyle w:val="Normal"/>
        <w:rPr>
          <w:b/>
          <w:bCs/>
        </w:rPr>
      </w:pPr>
      <w:r>
        <w:rPr>
          <w:b/>
          <w:bCs/>
        </w:rPr>
      </w:r>
    </w:p>
    <w:p>
      <w:pPr>
        <w:pStyle w:val="Normal"/>
        <w:rPr/>
      </w:pPr>
      <w:r>
        <w:rPr/>
        <w:t xml:space="preserve">Mirant signed a relatively short-term contract (through the end of 2002) at a high price (14.865 cents/kWh) on May 22, 2001.  It will collect $714 million from the ratepayers of the state between June 2001 and December, 2002. </w:t>
      </w:r>
    </w:p>
    <w:p>
      <w:pPr>
        <w:pStyle w:val="Normal"/>
        <w:rPr/>
      </w:pPr>
      <w:r>
        <w:rPr/>
      </w:r>
    </w:p>
    <w:p>
      <w:pPr>
        <w:pStyle w:val="Normal"/>
        <w:rPr/>
      </w:pPr>
      <w:r>
        <w:rPr/>
        <w:t>However, after the contract was signed, Mirant launched a campaign to bully the Bay Area Air Quality Management District into relaxing environmental regulations to reduce Nitrogen Oxide emissions, which are  scheduled to take effect at the beginning of 2002.  It is threatening to shut down over 600 MW of generation at Pittsburg (units 1-4) if pollution control requirements taking effect in 2002 are not waived.</w:t>
      </w:r>
      <w:r>
        <w:rPr>
          <w:rStyle w:val="FootnoteCharacters"/>
          <w:rStyle w:val="FootnoteReference"/>
          <w:rFonts w:cs="Arial" w:ascii="Arial" w:hAnsi="Arial"/>
        </w:rPr>
        <w:footnoteReference w:id="5"/>
      </w:r>
      <w:r>
        <w:rPr/>
        <w:t xml:space="preserve">  Those requirements had already had been in place for four years when Mirant purchased the plants in 1998.</w:t>
      </w:r>
      <w:r>
        <w:rPr>
          <w:rStyle w:val="FootnoteCharacters"/>
          <w:rStyle w:val="FootnoteReference"/>
          <w:rFonts w:cs="Arial" w:ascii="Arial" w:hAnsi="Arial"/>
        </w:rPr>
        <w:footnoteReference w:id="6"/>
      </w:r>
      <w:r>
        <w:rPr/>
        <w:t xml:space="preserve">  But Mirant has decided that it is cheaper to ignore the rules and fight the regulators than to clean up the plant.</w:t>
      </w:r>
    </w:p>
    <w:p>
      <w:pPr>
        <w:pStyle w:val="Normal"/>
        <w:rPr/>
      </w:pPr>
      <w:r>
        <w:rPr/>
      </w:r>
    </w:p>
    <w:p>
      <w:pPr>
        <w:pStyle w:val="Normal"/>
        <w:rPr/>
      </w:pPr>
      <w:r>
        <w:rPr/>
        <w:t>Mirant also cut a deal to run uncontrolled peaking generators at Potrero using distillate oil in exchange for paying mitigation fees.  It is being sued by environmental organizations and the City and County of San Francisco.</w:t>
      </w:r>
      <w:r>
        <w:br w:type="page"/>
      </w:r>
    </w:p>
    <w:p>
      <w:pPr>
        <w:pStyle w:val="Heading2"/>
        <w:tabs>
          <w:tab w:val="clear" w:pos="720"/>
          <w:tab w:val="right" w:pos="8640" w:leader="none"/>
        </w:tabs>
        <w:spacing w:lineRule="auto" w:line="240" w:before="120" w:after="240"/>
        <w:ind w:hanging="0" w:end="0"/>
        <w:jc w:val="center"/>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High Cost, No Flexibility in Operations or Power Planning</w:t>
        <w:br/>
        <w:t xml:space="preserve"> (Sempra Energy Resources)</w:t>
      </w:r>
    </w:p>
    <w:p>
      <w:pPr>
        <w:pStyle w:val="Normal"/>
        <w:tabs>
          <w:tab w:val="clear" w:pos="720"/>
          <w:tab w:val="left" w:pos="360" w:leader="none"/>
        </w:tabs>
        <w:spacing w:lineRule="auto" w:line="360"/>
        <w:rPr/>
      </w:pPr>
      <w:r>
        <w:rPr/>
        <w:tab/>
        <w:t>The Sempra contract has three components:</w:t>
      </w:r>
    </w:p>
    <w:p>
      <w:pPr>
        <w:pStyle w:val="Normal"/>
        <w:numPr>
          <w:ilvl w:val="0"/>
          <w:numId w:val="4"/>
        </w:numPr>
        <w:tabs>
          <w:tab w:val="clear" w:pos="720"/>
          <w:tab w:val="left" w:pos="360" w:leader="none"/>
        </w:tabs>
        <w:rPr/>
      </w:pPr>
      <w:r>
        <w:rPr/>
        <w:t>A fixed price component, starting off with 350 MW at $189 per MWh this summer, with varying quantities and falling but still high prices through May, 2003 ($112/MWh in 2002 and $69 in early 2003).</w:t>
      </w:r>
    </w:p>
    <w:p>
      <w:pPr>
        <w:pStyle w:val="Normal"/>
        <w:tabs>
          <w:tab w:val="clear" w:pos="720"/>
          <w:tab w:val="left" w:pos="360" w:leader="none"/>
        </w:tabs>
        <w:rPr/>
      </w:pPr>
      <w:r>
        <w:rPr/>
      </w:r>
    </w:p>
    <w:p>
      <w:pPr>
        <w:pStyle w:val="Normal"/>
        <w:numPr>
          <w:ilvl w:val="0"/>
          <w:numId w:val="4"/>
        </w:numPr>
        <w:tabs>
          <w:tab w:val="clear" w:pos="720"/>
          <w:tab w:val="left" w:pos="360" w:leader="none"/>
        </w:tabs>
        <w:rPr/>
      </w:pPr>
      <w:r>
        <w:rPr/>
        <w:t>Beginning in June 2003, a 700 MW 6 X 16 must-take heavy load hour component (350 MW in 2003), priced at $31 per MWh fixed plus gas at a heat rate of 10,000 Btu/kWh.</w:t>
      </w:r>
    </w:p>
    <w:p>
      <w:pPr>
        <w:pStyle w:val="Normal"/>
        <w:tabs>
          <w:tab w:val="clear" w:pos="720"/>
          <w:tab w:val="left" w:pos="360" w:leader="none"/>
        </w:tabs>
        <w:rPr/>
      </w:pPr>
      <w:r>
        <w:rPr/>
      </w:r>
    </w:p>
    <w:p>
      <w:pPr>
        <w:pStyle w:val="Normal"/>
        <w:numPr>
          <w:ilvl w:val="0"/>
          <w:numId w:val="4"/>
        </w:numPr>
        <w:tabs>
          <w:tab w:val="clear" w:pos="720"/>
          <w:tab w:val="left" w:pos="360" w:leader="none"/>
        </w:tabs>
        <w:rPr/>
      </w:pPr>
      <w:r>
        <w:rPr/>
        <w:t>Also beginning in June, 2003, a 1200 MW 7 X 24 must-take baseload component (1000 MW in 2003), priced at $26 per MWh fixed plus gas at a heat rate of 7,500 Btu/kWh.</w:t>
      </w:r>
    </w:p>
    <w:p>
      <w:pPr>
        <w:pStyle w:val="FootnoteText"/>
        <w:tabs>
          <w:tab w:val="clear" w:pos="720"/>
          <w:tab w:val="left" w:pos="360" w:leader="none"/>
        </w:tabs>
        <w:spacing w:lineRule="auto" w:line="360" w:before="0" w:after="0"/>
        <w:rPr/>
      </w:pPr>
      <w:r>
        <w:rPr/>
      </w:r>
    </w:p>
    <w:p>
      <w:pPr>
        <w:pStyle w:val="Normal"/>
        <w:tabs>
          <w:tab w:val="clear" w:pos="720"/>
          <w:tab w:val="left" w:pos="360" w:leader="none"/>
          <w:tab w:val="left" w:pos="4860" w:leader="none"/>
        </w:tabs>
        <w:spacing w:before="0" w:after="240"/>
        <w:rPr/>
      </w:pPr>
      <w:r>
        <w:rPr/>
        <w:tab/>
        <w:t xml:space="preserve">This contract essentially provides for very little power during the summer of 2001, when power supplies will be short, and provides that power at one of the highest prices negotiated by CDWR ($189/MWh, fixed, with no reductions for falling gas prices in the summer of 2001). </w:t>
      </w:r>
      <w:r>
        <w:rPr>
          <w:rStyle w:val="FootnoteCharacters"/>
          <w:rStyle w:val="FootnoteReference"/>
        </w:rPr>
        <w:footnoteReference w:id="7"/>
      </w:r>
      <w:r>
        <w:rPr/>
        <w:t xml:space="preserve">   </w:t>
      </w:r>
      <w:r>
        <w:rPr>
          <w:b/>
          <w:bCs/>
        </w:rPr>
        <w:t>This price is more than double the current FERC price caps during non-emergency conditions</w:t>
      </w:r>
      <w:r>
        <w:rPr/>
        <w:t xml:space="preserve"> ($92/MWh), and costs ratepayers $40 million more than buying spot power at the FERC price caps.  By comparison, other power sellers who provided little power early and more power later in the time frame offered far more competitive terms in the early years.  Allegheny Power provided power at $61 per MWh in 2001-02; this is practically a steal compared to Sempra’s higher prices.  </w:t>
      </w:r>
    </w:p>
    <w:p>
      <w:pPr>
        <w:pStyle w:val="Normal"/>
        <w:tabs>
          <w:tab w:val="clear" w:pos="720"/>
          <w:tab w:val="left" w:pos="360" w:leader="none"/>
        </w:tabs>
        <w:spacing w:before="0" w:after="240"/>
        <w:rPr/>
      </w:pPr>
      <w:r>
        <w:rPr/>
        <w:tab/>
        <w:t>In the later years, the State is obligated to purchase nearly 2000 MW of power at prices that are not as high but are considerably above those of a regulated entity building the same projects (or even an unregulated entity using reasonable financing and costing parameters reflecting the greater risk of unregulated projects).</w:t>
      </w:r>
    </w:p>
    <w:p>
      <w:pPr>
        <w:pStyle w:val="Heading1"/>
        <w:tabs>
          <w:tab w:val="clear" w:pos="720"/>
          <w:tab w:val="left" w:pos="360" w:leader="none"/>
        </w:tabs>
        <w:ind w:hanging="0" w:start="0"/>
        <w:rPr>
          <w:i/>
          <w:i/>
          <w:iCs/>
        </w:rPr>
      </w:pPr>
      <w:r>
        <w:rPr>
          <w:i/>
          <w:iCs/>
        </w:rPr>
        <w:t>Comparison of 2003-2011 Prices to Combined Cycle Generating Costs</w:t>
      </w:r>
    </w:p>
    <w:p>
      <w:pPr>
        <w:pStyle w:val="Normal"/>
        <w:tabs>
          <w:tab w:val="clear" w:pos="720"/>
          <w:tab w:val="left" w:pos="360" w:leader="none"/>
        </w:tabs>
        <w:rPr>
          <w:i/>
          <w:i/>
          <w:iCs/>
        </w:rPr>
      </w:pPr>
      <w:r>
        <w:rPr>
          <w:i/>
          <w:iCs/>
        </w:rPr>
      </w:r>
    </w:p>
    <w:p>
      <w:pPr>
        <w:pStyle w:val="Normal"/>
        <w:tabs>
          <w:tab w:val="clear" w:pos="720"/>
          <w:tab w:val="left" w:pos="360" w:leader="none"/>
        </w:tabs>
        <w:spacing w:before="0" w:after="240"/>
        <w:rPr/>
      </w:pPr>
      <w:r>
        <w:rPr/>
        <w:tab/>
        <w:t>The Sempra contract has identified several combined cycle power projects both in California and elsewhere in the Southwest and in Mexico as the source of this power.</w:t>
      </w:r>
      <w:r>
        <w:rPr>
          <w:rStyle w:val="FootnoteCharacters"/>
          <w:rFonts w:cs="Arial" w:ascii="Arial" w:hAnsi="Arial"/>
        </w:rPr>
        <w:t xml:space="preserve"> </w:t>
      </w:r>
      <w:r>
        <w:rPr>
          <w:rStyle w:val="FootnoteCharacters"/>
          <w:rStyle w:val="FootnoteReference"/>
          <w:rFonts w:cs="Arial" w:ascii="Arial" w:hAnsi="Arial"/>
        </w:rPr>
        <w:footnoteReference w:id="8"/>
      </w:r>
      <w:r>
        <w:rPr/>
        <w:t xml:space="preserve">  A typical combined cycle project has the following cost parameters (all stated in year 2000 constant dollars)</w:t>
      </w:r>
      <w:r>
        <w:rPr>
          <w:rStyle w:val="FootnoteCharacters"/>
          <w:rStyle w:val="FootnoteReference"/>
        </w:rPr>
        <w:footnoteReference w:id="9"/>
      </w:r>
      <w:r>
        <w:rPr/>
        <w:t>:</w:t>
      </w:r>
    </w:p>
    <w:p>
      <w:pPr>
        <w:pStyle w:val="Normal"/>
        <w:tabs>
          <w:tab w:val="clear" w:pos="720"/>
          <w:tab w:val="left" w:pos="360" w:leader="none"/>
        </w:tabs>
        <w:rPr/>
      </w:pPr>
      <w:r>
        <w:rPr/>
      </w:r>
    </w:p>
    <w:p>
      <w:pPr>
        <w:pStyle w:val="Normal"/>
        <w:tabs>
          <w:tab w:val="clear" w:pos="720"/>
          <w:tab w:val="left" w:pos="360" w:leader="none"/>
        </w:tabs>
        <w:rPr/>
      </w:pPr>
      <w:r>
        <w:rPr/>
        <w:t>Capital cost</w:t>
        <w:tab/>
        <w:tab/>
        <w:tab/>
        <w:tab/>
        <w:tab/>
        <w:t>$600/kW</w:t>
      </w:r>
    </w:p>
    <w:p>
      <w:pPr>
        <w:pStyle w:val="Normal"/>
        <w:tabs>
          <w:tab w:val="clear" w:pos="720"/>
          <w:tab w:val="left" w:pos="360" w:leader="none"/>
        </w:tabs>
        <w:rPr/>
      </w:pPr>
      <w:r>
        <w:rPr/>
        <w:t>Fixed O&amp;M and capital additions</w:t>
        <w:tab/>
        <w:tab/>
        <w:t>$15/kW-year ($10 O&amp;M)</w:t>
      </w:r>
    </w:p>
    <w:p>
      <w:pPr>
        <w:pStyle w:val="Normal"/>
        <w:tabs>
          <w:tab w:val="clear" w:pos="720"/>
          <w:tab w:val="left" w:pos="360" w:leader="none"/>
        </w:tabs>
        <w:rPr/>
      </w:pPr>
      <w:r>
        <w:rPr/>
        <w:t>Variable O&amp;M</w:t>
        <w:tab/>
        <w:tab/>
        <w:tab/>
        <w:tab/>
        <w:t>$2/MWh</w:t>
      </w:r>
    </w:p>
    <w:p>
      <w:pPr>
        <w:pStyle w:val="Normal"/>
        <w:tabs>
          <w:tab w:val="clear" w:pos="720"/>
          <w:tab w:val="left" w:pos="360" w:leader="none"/>
        </w:tabs>
        <w:rPr/>
      </w:pPr>
      <w:r>
        <w:rPr/>
      </w:r>
    </w:p>
    <w:p>
      <w:pPr>
        <w:pStyle w:val="Normal"/>
        <w:tabs>
          <w:tab w:val="clear" w:pos="720"/>
          <w:tab w:val="left" w:pos="360" w:leader="none"/>
        </w:tabs>
        <w:rPr/>
      </w:pPr>
      <w:r>
        <w:rPr/>
        <w:t>With these cost parameters and assuming 3% inflation, the cost of capital, fixed O&amp;M, and variable O&amp;M (at two capacity factors: 57% and 100%) can be stated as follows:</w:t>
      </w:r>
    </w:p>
    <w:p>
      <w:pPr>
        <w:pStyle w:val="Normal"/>
        <w:tabs>
          <w:tab w:val="clear" w:pos="720"/>
          <w:tab w:val="left" w:pos="360" w:leader="none"/>
        </w:tabs>
        <w:rPr/>
      </w:pPr>
      <w:r>
        <w:rPr/>
      </w:r>
    </w:p>
    <w:p>
      <w:pPr>
        <w:pStyle w:val="Normal"/>
        <w:tabs>
          <w:tab w:val="clear" w:pos="720"/>
          <w:tab w:val="left" w:pos="360" w:leader="none"/>
        </w:tabs>
        <w:rPr/>
      </w:pPr>
      <w:r>
        <w:rPr/>
        <w:tab/>
        <w:tab/>
        <w:tab/>
        <w:tab/>
        <w:tab/>
        <w:tab/>
      </w:r>
      <w:r>
        <w:rPr>
          <w:u w:val="single"/>
        </w:rPr>
        <w:t>100% (7X24)</w:t>
      </w:r>
      <w:r>
        <w:rPr>
          <w:rStyle w:val="FootnoteCharacters"/>
          <w:rStyle w:val="FootnoteReference"/>
          <w:u w:val="single"/>
        </w:rPr>
        <w:footnoteReference w:id="10"/>
      </w:r>
      <w:r>
        <w:rPr>
          <w:u w:val="single"/>
        </w:rPr>
        <w:tab/>
        <w:tab/>
        <w:tab/>
        <w:t>57% (6X16)</w:t>
      </w:r>
    </w:p>
    <w:p>
      <w:pPr>
        <w:pStyle w:val="Normal"/>
        <w:tabs>
          <w:tab w:val="clear" w:pos="720"/>
          <w:tab w:val="left" w:pos="360" w:leader="none"/>
        </w:tabs>
        <w:rPr>
          <w:u w:val="single"/>
        </w:rPr>
      </w:pPr>
      <w:r>
        <w:rPr>
          <w:u w:val="single"/>
        </w:rPr>
      </w:r>
    </w:p>
    <w:p>
      <w:pPr>
        <w:pStyle w:val="Normal"/>
        <w:tabs>
          <w:tab w:val="clear" w:pos="720"/>
          <w:tab w:val="left" w:pos="360" w:leader="none"/>
        </w:tabs>
        <w:rPr/>
      </w:pPr>
      <w:r>
        <w:rPr/>
        <w:t>Avoided cost (using real</w:t>
        <w:br/>
        <w:t>economic carrying charge and</w:t>
      </w:r>
    </w:p>
    <w:p>
      <w:pPr>
        <w:pStyle w:val="Normal"/>
        <w:tabs>
          <w:tab w:val="clear" w:pos="720"/>
          <w:tab w:val="left" w:pos="360" w:leader="none"/>
        </w:tabs>
        <w:rPr/>
      </w:pPr>
      <w:r>
        <w:rPr/>
        <w:t>regulated utility return)</w:t>
      </w:r>
      <w:r>
        <w:rPr>
          <w:rStyle w:val="FootnoteCharacters"/>
          <w:rStyle w:val="FootnoteReference"/>
        </w:rPr>
        <w:footnoteReference w:id="11"/>
      </w:r>
      <w:r>
        <w:rPr/>
        <w:tab/>
        <w:tab/>
        <w:t>$11.60/MWh</w:t>
        <w:tab/>
        <w:tab/>
        <w:tab/>
        <w:tab/>
        <w:t>$17.20/MWh</w:t>
      </w:r>
    </w:p>
    <w:p>
      <w:pPr>
        <w:pStyle w:val="Normal"/>
        <w:tabs>
          <w:tab w:val="clear" w:pos="720"/>
          <w:tab w:val="left" w:pos="360" w:leader="none"/>
        </w:tabs>
        <w:rPr/>
      </w:pPr>
      <w:r>
        <w:rPr/>
      </w:r>
    </w:p>
    <w:p>
      <w:pPr>
        <w:pStyle w:val="Normal"/>
        <w:tabs>
          <w:tab w:val="clear" w:pos="720"/>
          <w:tab w:val="left" w:pos="360" w:leader="none"/>
        </w:tabs>
        <w:rPr/>
      </w:pPr>
      <w:r>
        <w:rPr/>
        <w:t>Levelized capital,</w:t>
        <w:br/>
        <w:t>regulated utility return)</w:t>
        <w:tab/>
        <w:tab/>
        <w:t>$14.00/MWh</w:t>
        <w:tab/>
        <w:tab/>
        <w:tab/>
        <w:tab/>
        <w:t>$20.90/MWh</w:t>
      </w:r>
    </w:p>
    <w:p>
      <w:pPr>
        <w:pStyle w:val="Normal"/>
        <w:tabs>
          <w:tab w:val="clear" w:pos="720"/>
          <w:tab w:val="left" w:pos="360" w:leader="none"/>
        </w:tabs>
        <w:rPr/>
      </w:pPr>
      <w:r>
        <w:rPr/>
      </w:r>
    </w:p>
    <w:p>
      <w:pPr>
        <w:pStyle w:val="Normal"/>
        <w:tabs>
          <w:tab w:val="clear" w:pos="720"/>
          <w:tab w:val="left" w:pos="360" w:leader="none"/>
        </w:tabs>
        <w:rPr/>
      </w:pPr>
      <w:r>
        <w:rPr/>
        <w:t xml:space="preserve">Levelized capital </w:t>
        <w:br/>
        <w:t>(CEC unregulated return</w:t>
        <w:br/>
        <w:t>17% equity, 8% debt)</w:t>
        <w:tab/>
        <w:tab/>
        <w:t>$16.50/MWh</w:t>
        <w:tab/>
        <w:tab/>
        <w:tab/>
        <w:tab/>
        <w:t>$25.50/MWh</w:t>
      </w:r>
    </w:p>
    <w:p>
      <w:pPr>
        <w:pStyle w:val="Normal"/>
        <w:tabs>
          <w:tab w:val="clear" w:pos="720"/>
          <w:tab w:val="left" w:pos="360" w:leader="none"/>
        </w:tabs>
        <w:rPr/>
      </w:pPr>
      <w:r>
        <w:rPr/>
      </w:r>
    </w:p>
    <w:p>
      <w:pPr>
        <w:pStyle w:val="Normal"/>
        <w:tabs>
          <w:tab w:val="clear" w:pos="720"/>
          <w:tab w:val="left" w:pos="360" w:leader="none"/>
        </w:tabs>
        <w:spacing w:before="0" w:after="240"/>
        <w:rPr/>
      </w:pPr>
      <w:r>
        <w:rPr/>
        <w:tab/>
        <w:t>In other words, the tolling charges for a combined cycle project (excluding gas costs) could be expected to be from $12-$15 per MWh for baseload use and $17-$21/MWh for intermediate use under regulation.  Even under the expectation of deregulated prices a year ago, the cost would be about $17 for baseload power and $25 for intermediate use.</w:t>
      </w:r>
    </w:p>
    <w:p>
      <w:pPr>
        <w:pStyle w:val="Normal"/>
        <w:tabs>
          <w:tab w:val="clear" w:pos="720"/>
          <w:tab w:val="left" w:pos="360" w:leader="none"/>
        </w:tabs>
        <w:spacing w:before="0" w:after="240"/>
        <w:rPr/>
      </w:pPr>
      <w:r>
        <w:rPr/>
        <w:tab/>
        <w:t>When we compare this estimate to the Sempra contract, the excessive costs become readily apparent.  The Sempra contract provides a tolling charge of $26 per MWh for baseload 7X24 power – twice the regulated cost, and nearly 1 cent per kWh above the CEC’s estimate of a fair deregulated cost.</w:t>
      </w:r>
    </w:p>
    <w:p>
      <w:pPr>
        <w:pStyle w:val="Normal"/>
        <w:tabs>
          <w:tab w:val="clear" w:pos="720"/>
          <w:tab w:val="left" w:pos="360" w:leader="none"/>
        </w:tabs>
        <w:spacing w:before="0" w:after="240"/>
        <w:rPr/>
      </w:pPr>
      <w:r>
        <w:rPr/>
        <w:tab/>
        <w:t>For the heavy load hours contract, the analysis is more complex.  The tolling charge is $31 per MWh, but it only tells half of the story.  In addition, the combined cycle plant would produce power physically at a heat rate in the vicinity of 7250-7500 Btu/kWh, but it is priced as if its heat rate were 10,000 Btu/kWh.  This provides an additional profit component, albeit one which varies with the cost of natural gas.  If gas costs $4/MMBtu, this profit component is $10/MWh, so that the total payment (capacity plus built-in gas profit is $41/MWh for heavy load hour (6X16)power.</w:t>
      </w:r>
      <w:r>
        <w:rPr>
          <w:rStyle w:val="FootnoteCharacters"/>
          <w:rStyle w:val="FootnoteReference"/>
        </w:rPr>
        <w:footnoteReference w:id="12"/>
      </w:r>
      <w:r>
        <w:rPr/>
        <w:t xml:space="preserve">  This cost is more than twice the deregulated cost ($41 vs. $20 per MWh) and about $15/MWh  above the CEC’s deregulated cost estimate.</w:t>
      </w:r>
    </w:p>
    <w:p>
      <w:pPr>
        <w:pStyle w:val="Normal"/>
        <w:tabs>
          <w:tab w:val="clear" w:pos="720"/>
          <w:tab w:val="left" w:pos="360" w:leader="none"/>
        </w:tabs>
        <w:spacing w:before="0" w:after="240"/>
        <w:rPr/>
      </w:pPr>
      <w:r>
        <w:rPr/>
        <w:tab/>
        <w:t xml:space="preserve">Analyzing these costs over the life of the tolling contracts (July 2003 to December 2011), the Sempra contract will require ratepayers to pay nearly $1.2 billion more than the cost of </w:t>
      </w:r>
      <w:r>
        <w:rPr>
          <w:u w:val="single"/>
        </w:rPr>
        <w:t>unregulated</w:t>
      </w:r>
      <w:r>
        <w:rPr/>
        <w:t xml:space="preserve"> combined cycle generation estimated by the CEC.  It will make ratepayers pay $1.5 to $1.6 billion more in revenue than an equivalent amount of regulated combined cycle generation and $1.8 billion more than an equivalent amount of combined cycle generation built by the California Power Authority.  </w:t>
      </w:r>
    </w:p>
    <w:p>
      <w:pPr>
        <w:pStyle w:val="Normal"/>
        <w:tabs>
          <w:tab w:val="clear" w:pos="720"/>
          <w:tab w:val="left" w:pos="360" w:leader="none"/>
        </w:tabs>
        <w:spacing w:before="0" w:after="240"/>
        <w:rPr/>
      </w:pPr>
      <w:r>
        <w:rPr/>
        <w:tab/>
        <w:t>And at the end of the contract, Sempra will have a resource with over 20 years of remaining life to sell at market prices, while the regulated and Power Authority resources would remain cost-based.</w:t>
      </w:r>
    </w:p>
    <w:p>
      <w:pPr>
        <w:pStyle w:val="Normal"/>
        <w:tabs>
          <w:tab w:val="clear" w:pos="720"/>
          <w:tab w:val="left" w:pos="360" w:leader="none"/>
        </w:tabs>
        <w:spacing w:before="0" w:after="240"/>
        <w:rPr/>
      </w:pPr>
      <w:r>
        <w:rPr/>
        <w:tab/>
        <w:t>Another way to look at the Sempra contract is to analyze the contract’s cash flow to its investors.  Using the above cost parameters (including a $4 gas price for the gas profit on the 6X16 contract and the extra 10% of reserves for the baseload portion of the contract), Sempra could:</w:t>
      </w:r>
    </w:p>
    <w:p>
      <w:pPr>
        <w:pStyle w:val="Normal"/>
        <w:numPr>
          <w:ilvl w:val="0"/>
          <w:numId w:val="5"/>
        </w:numPr>
        <w:tabs>
          <w:tab w:val="clear" w:pos="720"/>
          <w:tab w:val="left" w:pos="360" w:leader="none"/>
        </w:tabs>
        <w:rPr/>
      </w:pPr>
      <w:r>
        <w:rPr/>
        <w:t xml:space="preserve">borrow half the cost of the plants at 9% interest, </w:t>
      </w:r>
    </w:p>
    <w:p>
      <w:pPr>
        <w:pStyle w:val="Normal"/>
        <w:numPr>
          <w:ilvl w:val="0"/>
          <w:numId w:val="5"/>
        </w:numPr>
        <w:tabs>
          <w:tab w:val="clear" w:pos="720"/>
          <w:tab w:val="left" w:pos="360" w:leader="none"/>
        </w:tabs>
        <w:rPr/>
      </w:pPr>
      <w:r>
        <w:rPr/>
        <w:t xml:space="preserve">pay 100% of that debt off during the 8.5 year contract period with contract revenues, </w:t>
      </w:r>
    </w:p>
    <w:p>
      <w:pPr>
        <w:pStyle w:val="Normal"/>
        <w:numPr>
          <w:ilvl w:val="0"/>
          <w:numId w:val="5"/>
        </w:numPr>
        <w:tabs>
          <w:tab w:val="clear" w:pos="720"/>
          <w:tab w:val="left" w:pos="360" w:leader="none"/>
        </w:tabs>
        <w:rPr/>
      </w:pPr>
      <w:r>
        <w:rPr/>
        <w:t xml:space="preserve">earn a </w:t>
      </w:r>
      <w:r>
        <w:rPr>
          <w:b/>
          <w:bCs/>
          <w:u w:val="single"/>
        </w:rPr>
        <w:t>22.7% after-tax cash return</w:t>
      </w:r>
      <w:r>
        <w:rPr/>
        <w:t xml:space="preserve"> on the other 50% of the equity it had invested during that 8.5 years, and </w:t>
      </w:r>
    </w:p>
    <w:p>
      <w:pPr>
        <w:pStyle w:val="Normal"/>
        <w:numPr>
          <w:ilvl w:val="0"/>
          <w:numId w:val="5"/>
        </w:numPr>
        <w:tabs>
          <w:tab w:val="clear" w:pos="720"/>
          <w:tab w:val="left" w:pos="360" w:leader="none"/>
        </w:tabs>
        <w:rPr/>
      </w:pPr>
      <w:r>
        <w:rPr/>
        <w:t>still have 22 years of plant life free and clear of debt at the end of the CDWR contract.</w:t>
      </w:r>
    </w:p>
    <w:p>
      <w:pPr>
        <w:pStyle w:val="Normal"/>
        <w:tabs>
          <w:tab w:val="clear" w:pos="720"/>
          <w:tab w:val="left" w:pos="360" w:leader="none"/>
        </w:tabs>
        <w:rPr/>
      </w:pPr>
      <w:r>
        <w:rPr/>
      </w:r>
    </w:p>
    <w:p>
      <w:pPr>
        <w:pStyle w:val="Heading3"/>
        <w:ind w:hanging="0" w:start="0"/>
        <w:rPr/>
      </w:pPr>
      <w:r>
        <w:rPr/>
        <w:t>Planning and Operational Flexibility Issues</w:t>
      </w:r>
    </w:p>
    <w:p>
      <w:pPr>
        <w:pStyle w:val="Normal"/>
        <w:tabs>
          <w:tab w:val="clear" w:pos="720"/>
          <w:tab w:val="left" w:pos="360" w:leader="none"/>
        </w:tabs>
        <w:rPr/>
      </w:pPr>
      <w:r>
        <w:rPr/>
      </w:r>
    </w:p>
    <w:p>
      <w:pPr>
        <w:pStyle w:val="Normal"/>
        <w:tabs>
          <w:tab w:val="clear" w:pos="720"/>
          <w:tab w:val="left" w:pos="360" w:leader="none"/>
        </w:tabs>
        <w:spacing w:before="0" w:after="240"/>
        <w:rPr/>
      </w:pPr>
      <w:r>
        <w:rPr/>
        <w:t xml:space="preserve">In addition, the Sempra contract is inflexible on both a planning and operational basis. </w:t>
      </w:r>
    </w:p>
    <w:p>
      <w:pPr>
        <w:pStyle w:val="Normal"/>
        <w:tabs>
          <w:tab w:val="clear" w:pos="720"/>
          <w:tab w:val="left" w:pos="360" w:leader="none"/>
        </w:tabs>
        <w:spacing w:before="0" w:after="240"/>
        <w:rPr/>
      </w:pPr>
      <w:r>
        <w:rPr/>
      </w:r>
    </w:p>
    <w:p>
      <w:pPr>
        <w:pStyle w:val="Normal"/>
        <w:tabs>
          <w:tab w:val="clear" w:pos="720"/>
          <w:tab w:val="left" w:pos="360" w:leader="none"/>
        </w:tabs>
        <w:spacing w:before="0" w:after="240"/>
        <w:rPr/>
      </w:pPr>
      <w:r>
        <w:rPr/>
        <w:t xml:space="preserve">Operationally, power is delivered at an 80.5% capacity factor over the life of the contract.  Not a single kilowatt-hour of the contract is dispatchable, so that all of the power must be taken, even if it must be sold at a loss later.  </w:t>
      </w:r>
    </w:p>
    <w:p>
      <w:pPr>
        <w:pStyle w:val="Normal"/>
        <w:tabs>
          <w:tab w:val="clear" w:pos="720"/>
          <w:tab w:val="left" w:pos="360" w:leader="none"/>
        </w:tabs>
        <w:spacing w:before="0" w:after="240"/>
        <w:rPr/>
      </w:pPr>
      <w:r>
        <w:rPr/>
        <w:t xml:space="preserve">On a planning basis, the inflexibility is even worse.  </w:t>
      </w:r>
    </w:p>
    <w:p>
      <w:pPr>
        <w:pStyle w:val="Normal"/>
        <w:tabs>
          <w:tab w:val="clear" w:pos="720"/>
          <w:tab w:val="left" w:pos="360" w:leader="none"/>
        </w:tabs>
        <w:spacing w:before="0" w:after="240"/>
        <w:rPr/>
      </w:pPr>
      <w:r>
        <w:rPr/>
        <w:t>In the dark days of January-March, 2001, Sempra charged the California Department of Water Resources over 43 cents per kWh for power, making millions in unregulated profits.  After taking the money and running, it signed this contract on May 4, 2001.</w:t>
      </w:r>
    </w:p>
    <w:p>
      <w:pPr>
        <w:pStyle w:val="Normal"/>
        <w:tabs>
          <w:tab w:val="clear" w:pos="720"/>
          <w:tab w:val="left" w:pos="360" w:leader="none"/>
        </w:tabs>
        <w:spacing w:before="0" w:after="240"/>
        <w:rPr/>
      </w:pPr>
      <w:r>
        <w:rPr/>
        <w:t>In order to obtain small quantities of power in 2001-2002, when supplies were short, CDWR had to take 7.6 times as much power in 2004 as was delivered in the summer of 2001.  This is the highest ratio of any contract that contained any power deliveries at all in 2001.  And the price of power in 2001 ($189/MWh) was 278% as high as power prices with $5/MMBtu gas in 2004, so there wasn’t even a good deal on power in the early part of the contract (like other contracts such as the Calpine baseload contract and the Allegheny contract).</w:t>
      </w:r>
    </w:p>
    <w:p>
      <w:pPr>
        <w:pStyle w:val="Normal"/>
        <w:tabs>
          <w:tab w:val="clear" w:pos="720"/>
          <w:tab w:val="left" w:pos="360" w:leader="none"/>
        </w:tabs>
        <w:spacing w:before="0" w:after="240"/>
        <w:rPr/>
      </w:pPr>
      <w:r>
        <w:rPr/>
        <w:t xml:space="preserve">The Sempra contract may not be the worst of any contracts on most individual parameters, but the combined effect of the contract as a whole, looking at all of its prices, terms and conditions is extremely expensive and inflexible.  No other contract has the same costly combination where </w:t>
      </w:r>
      <w:r>
        <w:rPr>
          <w:u w:val="single"/>
        </w:rPr>
        <w:t>all</w:t>
      </w:r>
      <w:r>
        <w:rPr/>
        <w:t xml:space="preserve"> of the following nine factors come into play:</w:t>
      </w:r>
    </w:p>
    <w:p>
      <w:pPr>
        <w:pStyle w:val="Normal"/>
        <w:numPr>
          <w:ilvl w:val="0"/>
          <w:numId w:val="2"/>
        </w:numPr>
        <w:tabs>
          <w:tab w:val="clear" w:pos="720"/>
          <w:tab w:val="left" w:pos="360" w:leader="none"/>
        </w:tabs>
        <w:spacing w:before="0" w:after="120"/>
        <w:ind w:hanging="0" w:start="0" w:end="0"/>
        <w:rPr/>
      </w:pPr>
      <w:r>
        <w:rPr/>
        <w:t xml:space="preserve">high early period power prices (twice the FERC price cap), </w:t>
      </w:r>
    </w:p>
    <w:p>
      <w:pPr>
        <w:pStyle w:val="Normal"/>
        <w:numPr>
          <w:ilvl w:val="0"/>
          <w:numId w:val="2"/>
        </w:numPr>
        <w:tabs>
          <w:tab w:val="clear" w:pos="720"/>
          <w:tab w:val="left" w:pos="360" w:leader="none"/>
        </w:tabs>
        <w:spacing w:before="0" w:after="120"/>
        <w:ind w:hanging="360" w:start="360" w:end="0"/>
        <w:rPr/>
      </w:pPr>
      <w:r>
        <w:rPr/>
        <w:t xml:space="preserve">low early period power deliveries when the state needed power to reduce reliance on the expensive spot market, </w:t>
      </w:r>
    </w:p>
    <w:p>
      <w:pPr>
        <w:pStyle w:val="Normal"/>
        <w:numPr>
          <w:ilvl w:val="0"/>
          <w:numId w:val="2"/>
        </w:numPr>
        <w:tabs>
          <w:tab w:val="clear" w:pos="720"/>
          <w:tab w:val="left" w:pos="360" w:leader="none"/>
        </w:tabs>
        <w:spacing w:before="0" w:after="120"/>
        <w:ind w:hanging="0" w:start="0" w:end="0"/>
        <w:rPr/>
      </w:pPr>
      <w:r>
        <w:rPr/>
        <w:t xml:space="preserve">high later period power deliveries limiting planning flexibility, </w:t>
      </w:r>
    </w:p>
    <w:p>
      <w:pPr>
        <w:pStyle w:val="Normal"/>
        <w:numPr>
          <w:ilvl w:val="0"/>
          <w:numId w:val="2"/>
        </w:numPr>
        <w:tabs>
          <w:tab w:val="clear" w:pos="720"/>
          <w:tab w:val="left" w:pos="360" w:leader="none"/>
        </w:tabs>
        <w:spacing w:before="0" w:after="120"/>
        <w:ind w:hanging="0" w:start="0" w:end="0"/>
        <w:rPr/>
      </w:pPr>
      <w:r>
        <w:rPr/>
        <w:t xml:space="preserve">extremely high profits from later period power prices, </w:t>
      </w:r>
    </w:p>
    <w:p>
      <w:pPr>
        <w:pStyle w:val="Normal"/>
        <w:numPr>
          <w:ilvl w:val="0"/>
          <w:numId w:val="2"/>
        </w:numPr>
        <w:tabs>
          <w:tab w:val="clear" w:pos="720"/>
          <w:tab w:val="left" w:pos="360" w:leader="none"/>
        </w:tabs>
        <w:spacing w:before="0" w:after="120"/>
        <w:ind w:hanging="0" w:start="0" w:end="0"/>
        <w:rPr/>
      </w:pPr>
      <w:r>
        <w:rPr/>
        <w:t xml:space="preserve">exposing ratepayers to significant gas price risks in the later years of the contract </w:t>
      </w:r>
      <w:r>
        <w:rPr>
          <w:rStyle w:val="FootnoteCharacters"/>
          <w:rStyle w:val="FootnoteReference"/>
        </w:rPr>
        <w:footnoteReference w:id="13"/>
      </w:r>
    </w:p>
    <w:p>
      <w:pPr>
        <w:pStyle w:val="Normal"/>
        <w:numPr>
          <w:ilvl w:val="0"/>
          <w:numId w:val="2"/>
        </w:numPr>
        <w:tabs>
          <w:tab w:val="clear" w:pos="720"/>
          <w:tab w:val="left" w:pos="360" w:leader="none"/>
        </w:tabs>
        <w:spacing w:before="0" w:after="120"/>
        <w:ind w:hanging="360" w:start="360" w:end="0"/>
        <w:rPr/>
      </w:pPr>
      <w:r>
        <w:rPr/>
        <w:t>fixing electric prices through the end of 2003 to prevent ratepayers from reaping benefits of gas prices that have recently been declining.</w:t>
      </w:r>
    </w:p>
    <w:p>
      <w:pPr>
        <w:pStyle w:val="Normal"/>
        <w:numPr>
          <w:ilvl w:val="0"/>
          <w:numId w:val="2"/>
        </w:numPr>
        <w:tabs>
          <w:tab w:val="clear" w:pos="720"/>
          <w:tab w:val="left" w:pos="360" w:leader="none"/>
        </w:tabs>
        <w:spacing w:lineRule="auto" w:line="360"/>
        <w:ind w:hanging="0" w:start="0" w:end="0"/>
        <w:rPr/>
      </w:pPr>
      <w:r>
        <w:rPr/>
        <w:t>a long-term (eleven-year) contract that limits planning flexibility</w:t>
      </w:r>
    </w:p>
    <w:p>
      <w:pPr>
        <w:pStyle w:val="Normal"/>
        <w:numPr>
          <w:ilvl w:val="0"/>
          <w:numId w:val="2"/>
        </w:numPr>
        <w:tabs>
          <w:tab w:val="clear" w:pos="720"/>
          <w:tab w:val="left" w:pos="360" w:leader="none"/>
        </w:tabs>
        <w:spacing w:lineRule="auto" w:line="360"/>
        <w:ind w:hanging="0" w:start="0" w:end="0"/>
        <w:rPr/>
      </w:pPr>
      <w:r>
        <w:rPr/>
        <w:t>a high capacity factor for contract deliveries, and</w:t>
      </w:r>
    </w:p>
    <w:p>
      <w:pPr>
        <w:pStyle w:val="Normal"/>
        <w:numPr>
          <w:ilvl w:val="0"/>
          <w:numId w:val="2"/>
        </w:numPr>
        <w:tabs>
          <w:tab w:val="clear" w:pos="720"/>
          <w:tab w:val="left" w:pos="360" w:leader="none"/>
        </w:tabs>
        <w:spacing w:lineRule="auto" w:line="360"/>
        <w:ind w:hanging="0" w:start="0" w:end="0"/>
        <w:rPr/>
      </w:pPr>
      <w:r>
        <w:rPr/>
        <w:t>a complete lack of dispatchability.</w:t>
      </w:r>
    </w:p>
    <w:p>
      <w:pPr>
        <w:pStyle w:val="Normal"/>
        <w:tabs>
          <w:tab w:val="clear" w:pos="720"/>
          <w:tab w:val="left" w:pos="360" w:leader="none"/>
        </w:tabs>
        <w:spacing w:lineRule="auto" w:line="360"/>
        <w:rPr/>
      </w:pPr>
      <w:r>
        <w:rPr/>
      </w:r>
    </w:p>
    <w:p>
      <w:pPr>
        <w:pStyle w:val="Normal"/>
        <w:tabs>
          <w:tab w:val="clear" w:pos="720"/>
          <w:tab w:val="left" w:pos="360" w:leader="none"/>
        </w:tabs>
        <w:spacing w:before="0" w:after="240"/>
        <w:rPr/>
      </w:pPr>
      <w:r>
        <w:rPr/>
        <w:t>With gas at $5/Mmbtu, the overall contract is more expensive than new renewable projects.</w:t>
      </w:r>
      <w:r>
        <w:br w:type="page"/>
      </w:r>
    </w:p>
    <w:p>
      <w:pPr>
        <w:pStyle w:val="Normal"/>
        <w:jc w:val="center"/>
        <w:rPr>
          <w:b/>
          <w:bCs/>
        </w:rPr>
      </w:pPr>
      <w:r>
        <w:rPr>
          <w:b/>
          <w:bCs/>
        </w:rPr>
        <w:t>Late, Expensive, and Unnecessary (Pacificorp Klamath Falls)</w:t>
      </w:r>
    </w:p>
    <w:p>
      <w:pPr>
        <w:pStyle w:val="Normal"/>
        <w:rPr>
          <w:b/>
          <w:bCs/>
        </w:rPr>
      </w:pPr>
      <w:r>
        <w:rPr>
          <w:b/>
          <w:bCs/>
        </w:rPr>
      </w:r>
    </w:p>
    <w:p>
      <w:pPr>
        <w:pStyle w:val="Normal"/>
        <w:rPr/>
      </w:pPr>
      <w:r>
        <w:rPr/>
        <w:t>CDWR signed a ten contract with Pacificorp to purchase capacity from the Klamath combined cycle project.  The capacity purchased is  150 MW of capacity from about August 1, 2002 through June 30, 2002, 200 MW from July 2002 through June, 2004, and 300 MW from July, 2004 through June 30, 2011.</w:t>
      </w:r>
    </w:p>
    <w:p>
      <w:pPr>
        <w:pStyle w:val="Normal"/>
        <w:rPr/>
      </w:pPr>
      <w:r>
        <w:rPr/>
      </w:r>
    </w:p>
    <w:p>
      <w:pPr>
        <w:pStyle w:val="Normal"/>
        <w:rPr/>
      </w:pPr>
      <w:r>
        <w:rPr/>
        <w:t xml:space="preserve">Through the end of 2002, the contract has a fixed price ($70/MWh) and is not dispatchable.  As a result, it prevents ratepayers from reaping any rewards from the recent decline in gas prices.  In 2003, the contract converts to a dispatchable contract that is sensitive to gas prices.  Therefore, ratepayers are exposed to future gas price risk, while not benefiting from the short-term price decline that has already occurred..  </w:t>
      </w:r>
    </w:p>
    <w:p>
      <w:pPr>
        <w:pStyle w:val="Normal"/>
        <w:rPr/>
      </w:pPr>
      <w:r>
        <w:rPr/>
      </w:r>
    </w:p>
    <w:p>
      <w:pPr>
        <w:pStyle w:val="Normal"/>
        <w:rPr/>
      </w:pPr>
      <w:r>
        <w:rPr/>
        <w:t>The savings from dispatchability are roughly equivalent to gas prices at about a heat rate of 8600 Btu/kWh.  The energy</w:t>
      </w:r>
      <w:r>
        <w:rPr>
          <w:b/>
          <w:bCs/>
        </w:rPr>
        <w:t xml:space="preserve"> </w:t>
      </w:r>
      <w:r>
        <w:rPr/>
        <w:t>price for this project is higher than for other dispatchable combined cycle projects because its location in the Pacific Northwest requires the addition of  losses and reserve charges, raising its price by about 5% relative to plants in California.  “The capacity price for the project (about $141/kW-year) was slightly lower than other contracts with separately stated capacity prices (such as GWF).</w:t>
      </w:r>
    </w:p>
    <w:p>
      <w:pPr>
        <w:pStyle w:val="Normal"/>
        <w:rPr/>
      </w:pPr>
      <w:r>
        <w:rPr/>
      </w:r>
    </w:p>
    <w:p>
      <w:pPr>
        <w:pStyle w:val="Normal"/>
        <w:rPr/>
      </w:pPr>
      <w:r>
        <w:rPr/>
        <w:t>The overall cost of the power from the plant (assuming gas at $4.50/MMBtu) is higher than the cost of power from other vendors such as the Calpine combined cycles and Allegheny’s resale of existing gas-fired power.  The total of the plant’s fixed capacity and fixed and variable O&amp;M charges amount to $28/MWh for the plant’s 93% capacity factor operation, a figure which is even higher than Sempra’s extremely expensive $26/MWh for 7X24 operation.</w:t>
      </w:r>
    </w:p>
    <w:p>
      <w:pPr>
        <w:pStyle w:val="Normal"/>
        <w:rPr/>
      </w:pPr>
      <w:r>
        <w:rPr/>
      </w:r>
    </w:p>
    <w:p>
      <w:pPr>
        <w:pStyle w:val="Normal"/>
        <w:rPr/>
      </w:pPr>
      <w:r>
        <w:rPr/>
        <w:t>The contract is a ten-year contract and provides only half as much power in the summer of 2001 than its maximum capacity.  Both of these features limit the state’s planning flexibility.</w:t>
      </w:r>
    </w:p>
    <w:p>
      <w:pPr>
        <w:pStyle w:val="Normal"/>
        <w:rPr/>
      </w:pPr>
      <w:r>
        <w:rPr/>
      </w:r>
    </w:p>
    <w:p>
      <w:pPr>
        <w:pStyle w:val="Normal"/>
        <w:rPr/>
      </w:pPr>
      <w:r>
        <w:rPr/>
        <w:t>While this contract is more expensive than other comparable combined cycle contracts, two other key features cause us to raise serious questions about it.</w:t>
      </w:r>
    </w:p>
    <w:p>
      <w:pPr>
        <w:pStyle w:val="Normal"/>
        <w:rPr/>
      </w:pPr>
      <w:r>
        <w:rPr/>
      </w:r>
    </w:p>
    <w:p>
      <w:pPr>
        <w:pStyle w:val="Normal"/>
        <w:ind w:hanging="720" w:start="720" w:end="0"/>
        <w:rPr/>
      </w:pPr>
      <w:r>
        <w:rPr/>
        <w:t>1.</w:t>
        <w:tab/>
      </w:r>
      <w:r>
        <w:rPr>
          <w:b/>
          <w:bCs/>
        </w:rPr>
        <w:t>This was one of the latest contracts signed – on July 6, 2001</w:t>
      </w:r>
      <w:r>
        <w:rPr/>
        <w:t xml:space="preserve">, long after CDWR and other parties were aware of the potential for power surpluses.  The contract was unnecessary.  </w:t>
      </w:r>
    </w:p>
    <w:p>
      <w:pPr>
        <w:pStyle w:val="Normal"/>
        <w:rPr/>
      </w:pPr>
      <w:r>
        <w:rPr/>
      </w:r>
    </w:p>
    <w:p>
      <w:pPr>
        <w:pStyle w:val="Normal"/>
        <w:ind w:hanging="720" w:start="720" w:end="0"/>
        <w:rPr/>
      </w:pPr>
      <w:r>
        <w:rPr/>
        <w:t>2.</w:t>
        <w:tab/>
        <w:t xml:space="preserve">It was disclosed that the </w:t>
      </w:r>
      <w:r>
        <w:rPr>
          <w:b/>
          <w:bCs/>
        </w:rPr>
        <w:t>state’s chief negotiator, Vikram Budhraja, owned stock in Scottish Power, the parent company of Pacificorp</w:t>
      </w:r>
      <w:r>
        <w:rPr/>
        <w:t>, at the time the contract was being negotiated and signed, raising serious questions of conflict of interest.</w:t>
      </w:r>
    </w:p>
    <w:sectPr>
      <w:footnotePr>
        <w:numFmt w:val="decimal"/>
      </w:footnote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spacing w:before="0" w:after="120"/>
        <w:rPr/>
      </w:pPr>
      <w:r>
        <w:rPr>
          <w:rStyle w:val="FootnoteCharacters"/>
        </w:rPr>
        <w:footnoteRef/>
      </w:r>
      <w:r>
        <w:rPr/>
        <w:t xml:space="preserve"> </w:t>
      </w:r>
      <w:r>
        <w:rPr/>
        <w:t>The contract also contains a relatively generous amount for variable O&amp;M ($4/MWH, compared to the $2/MWh estimated by the CEC).</w:t>
      </w:r>
    </w:p>
  </w:footnote>
  <w:footnote w:id="3">
    <w:p>
      <w:pPr>
        <w:pStyle w:val="FootnoteText"/>
        <w:spacing w:before="0" w:after="120"/>
        <w:rPr/>
      </w:pPr>
      <w:r>
        <w:rPr>
          <w:rStyle w:val="FootnoteCharacters"/>
        </w:rPr>
        <w:footnoteRef/>
      </w:r>
      <w:r>
        <w:rPr/>
        <w:t xml:space="preserve"> </w:t>
      </w:r>
      <w:r>
        <w:rPr/>
        <w:t>The earnings are “cash on cash”, that is they include no long-term debt.  The return on equity would be higher if long-term debt were part of the financing structure.</w:t>
      </w:r>
    </w:p>
  </w:footnote>
  <w:footnote w:id="4">
    <w:p>
      <w:pPr>
        <w:pStyle w:val="FootnoteText"/>
        <w:spacing w:before="0" w:after="120"/>
        <w:rPr/>
      </w:pPr>
      <w:r>
        <w:rPr>
          <w:rStyle w:val="FootnoteCharacters"/>
        </w:rPr>
        <w:footnoteRef/>
      </w:r>
      <w:r>
        <w:rPr/>
        <w:t xml:space="preserve"> </w:t>
      </w:r>
      <w:r>
        <w:rPr/>
        <w:t xml:space="preserve">A base case estimate of $1.12 per MWh is included in the estimate of $68.40 reported here , but the state is liable regardless of how expensive the emissions credit market becomes.  </w:t>
      </w:r>
    </w:p>
  </w:footnote>
  <w:footnote w:id="5">
    <w:p>
      <w:pPr>
        <w:pStyle w:val="FootnoteText"/>
        <w:spacing w:before="0" w:after="120"/>
        <w:rPr/>
      </w:pPr>
      <w:r>
        <w:rPr>
          <w:rStyle w:val="FootnoteCharacters"/>
        </w:rPr>
        <w:footnoteRef/>
      </w:r>
      <w:r>
        <w:rPr/>
        <w:t xml:space="preserve"> “</w:t>
      </w:r>
      <w:r>
        <w:rPr/>
        <w:t xml:space="preserve">Mirant Says 600 MW Face Emissions Shutdown,” </w:t>
      </w:r>
      <w:r>
        <w:rPr>
          <w:u w:val="single"/>
        </w:rPr>
        <w:t>Energy On-Line Daily News</w:t>
      </w:r>
      <w:r>
        <w:rPr/>
        <w:t xml:space="preserve">, July 23, 2001, </w:t>
      </w:r>
      <w:hyperlink r:id="rId1">
        <w:r>
          <w:rPr>
            <w:rStyle w:val="Hyperlink"/>
          </w:rPr>
          <w:t>http://www.energyonline.com/news/articles/g23-4ca.asp</w:t>
        </w:r>
      </w:hyperlink>
      <w:r>
        <w:rPr/>
        <w:t xml:space="preserve"> </w:t>
      </w:r>
    </w:p>
  </w:footnote>
  <w:footnote w:id="6">
    <w:p>
      <w:pPr>
        <w:pStyle w:val="FootnoteText"/>
        <w:spacing w:before="0" w:after="120"/>
        <w:rPr/>
      </w:pPr>
      <w:r>
        <w:rPr>
          <w:rStyle w:val="FootnoteCharacters"/>
        </w:rPr>
        <w:footnoteRef/>
      </w:r>
      <w:r>
        <w:rPr>
          <w:rFonts w:cs="Arial" w:ascii="Arial" w:hAnsi="Arial"/>
        </w:rPr>
        <w:t xml:space="preserve"> </w:t>
      </w:r>
      <w:r>
        <w:rPr>
          <w:rFonts w:cs="Arial" w:ascii="Arial" w:hAnsi="Arial"/>
        </w:rPr>
        <w:t>Bay Area Air Quality Management District, Regulation 9, Rule 11, adopted February 16, 1994.</w:t>
      </w:r>
    </w:p>
  </w:footnote>
  <w:footnote w:id="7">
    <w:p>
      <w:pPr>
        <w:pStyle w:val="FootnoteText"/>
        <w:spacing w:before="0" w:after="120"/>
        <w:rPr/>
      </w:pPr>
      <w:r>
        <w:rPr>
          <w:rStyle w:val="FootnoteCharacters"/>
        </w:rPr>
        <w:footnoteRef/>
      </w:r>
      <w:r>
        <w:rPr/>
        <w:t xml:space="preserve"> </w:t>
      </w:r>
      <w:r>
        <w:rPr/>
        <w:t>The average prices of $112/MWh in 2002, and $69/MWh in the first half of 2003 are also high.</w:t>
      </w:r>
    </w:p>
  </w:footnote>
  <w:footnote w:id="8">
    <w:p>
      <w:pPr>
        <w:pStyle w:val="FootnoteText"/>
        <w:spacing w:before="0" w:after="120"/>
        <w:rPr/>
      </w:pPr>
      <w:r>
        <w:rPr>
          <w:rStyle w:val="FootnoteCharacters"/>
        </w:rPr>
        <w:footnoteRef/>
      </w:r>
      <w:r>
        <w:rPr/>
        <w:t xml:space="preserve"> </w:t>
      </w:r>
      <w:r>
        <w:rPr/>
        <w:t>The El Dorado and Copper Mountain projects in Boulder City, Nevada, Mesquite 1 and 2 in Arlington, Arizona, Elk Hills in Bakersfield, CA, Citricado in Escondido, CA, and Mexicali in Baja California.</w:t>
      </w:r>
    </w:p>
  </w:footnote>
  <w:footnote w:id="9">
    <w:p>
      <w:pPr>
        <w:pStyle w:val="FootnoteText"/>
        <w:spacing w:before="0" w:after="120"/>
        <w:rPr/>
      </w:pPr>
      <w:r>
        <w:rPr>
          <w:rStyle w:val="FootnoteCharacters"/>
        </w:rPr>
        <w:footnoteRef/>
      </w:r>
      <w:r>
        <w:rPr/>
        <w:t xml:space="preserve"> </w:t>
      </w:r>
      <w:r>
        <w:rPr/>
        <w:t>See California Energy Commission, Market Clearing Prices Under Alternative Resource Scenarios, 2000-2010, February, 2000, pp. III-2 to III-4.</w:t>
      </w:r>
    </w:p>
  </w:footnote>
  <w:footnote w:id="10">
    <w:p>
      <w:pPr>
        <w:pStyle w:val="FootnoteText"/>
        <w:spacing w:before="0" w:after="120"/>
        <w:rPr/>
      </w:pPr>
      <w:r>
        <w:rPr>
          <w:rStyle w:val="FootnoteCharacters"/>
        </w:rPr>
        <w:footnoteRef/>
      </w:r>
      <w:r>
        <w:rPr/>
        <w:t xml:space="preserve"> </w:t>
      </w:r>
      <w:r>
        <w:rPr/>
        <w:t>Included in the cost is a 10% reserve margin on capital and fixed O&amp;M because of the requirement to build extra generation to meet obligations when some is out of service.  The 10% figure is conservative, because during many hours of the year, the generation from additional plants could be sold at a profit margin in other markets.  A margin is not included on the 6X16 contract, because an offsetting factor – the ability to sell power at positive margins during off-peak hours, is also not considered.</w:t>
      </w:r>
    </w:p>
  </w:footnote>
  <w:footnote w:id="11">
    <w:p>
      <w:pPr>
        <w:pStyle w:val="FootnoteText"/>
        <w:spacing w:before="0" w:after="120"/>
        <w:rPr/>
      </w:pPr>
      <w:r>
        <w:rPr>
          <w:rStyle w:val="FootnoteCharacters"/>
        </w:rPr>
        <w:footnoteRef/>
      </w:r>
      <w:r>
        <w:rPr/>
        <w:t xml:space="preserve"> </w:t>
      </w:r>
      <w:r>
        <w:rPr/>
        <w:t>This is the price that would prevail in a competitive market according to marginal cost theory and is the value of deferring the plant from one year to the next.</w:t>
      </w:r>
    </w:p>
  </w:footnote>
  <w:footnote w:id="12">
    <w:p>
      <w:pPr>
        <w:pStyle w:val="FootnoteText"/>
        <w:spacing w:before="0" w:after="120"/>
        <w:rPr/>
      </w:pPr>
      <w:r>
        <w:rPr>
          <w:rStyle w:val="FootnoteCharacters"/>
        </w:rPr>
        <w:footnoteRef/>
      </w:r>
      <w:r>
        <w:rPr/>
        <w:t xml:space="preserve"> </w:t>
      </w:r>
      <w:r>
        <w:rPr/>
        <w:t>The amount of profit increases by $2.50/MWh for each $1/MMBtu increase in the cost of gas.</w:t>
      </w:r>
    </w:p>
  </w:footnote>
  <w:footnote w:id="13">
    <w:p>
      <w:pPr>
        <w:pStyle w:val="FootnoteText"/>
        <w:spacing w:before="0" w:after="120"/>
        <w:rPr/>
      </w:pPr>
      <w:r>
        <w:rPr>
          <w:rStyle w:val="FootnoteCharacters"/>
        </w:rPr>
        <w:footnoteRef/>
      </w:r>
      <w:r>
        <w:rPr/>
        <w:t xml:space="preserve"> </w:t>
      </w:r>
      <w:r>
        <w:rPr/>
        <w:t>If gas prices were to rise from $3 to $10 after 2004, as they did in 2000-2001, the contract price would rise by 109% from $51 to $108/MWh.</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abstractNum w:abstractNumId="3">
    <w:lvl w:ilvl="0">
      <w:start w:val="1"/>
      <w:numFmt w:val="bullet"/>
      <w:lvlText w:val=""/>
      <w:lvlJc w:val="start"/>
      <w:pPr>
        <w:tabs>
          <w:tab w:val="num" w:pos="720"/>
        </w:tabs>
        <w:ind w:start="720" w:hanging="360"/>
      </w:pPr>
      <w:rPr>
        <w:rFonts w:ascii="Symbol" w:hAnsi="Symbol" w:cs="Symbol" w:hint="default"/>
      </w:rPr>
    </w:lvl>
  </w:abstractNum>
  <w:abstractNum w:abstractNumId="4">
    <w:lvl w:ilvl="0">
      <w:start w:val="1"/>
      <w:numFmt w:val="bullet"/>
      <w:lvlText w:val=""/>
      <w:lvlJc w:val="start"/>
      <w:pPr>
        <w:tabs>
          <w:tab w:val="num" w:pos="720"/>
        </w:tabs>
        <w:ind w:start="720" w:hanging="360"/>
      </w:pPr>
      <w:rPr>
        <w:rFonts w:ascii="Symbol" w:hAnsi="Symbol" w:cs="Symbol" w:hint="default"/>
      </w:rPr>
    </w:lvl>
  </w:abstractNum>
  <w:abstractNum w:abstractNumId="5">
    <w:lvl w:ilvl="0">
      <w:start w:val="1"/>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75"/>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u w:val="single"/>
    </w:rPr>
  </w:style>
  <w:style w:type="paragraph" w:styleId="Heading2">
    <w:name w:val="heading 2"/>
    <w:basedOn w:val="Normal"/>
    <w:next w:val="Normal"/>
    <w:qFormat/>
    <w:pPr>
      <w:keepNext w:val="true"/>
      <w:numPr>
        <w:ilvl w:val="1"/>
        <w:numId w:val="1"/>
      </w:numPr>
      <w:spacing w:lineRule="auto" w:line="360" w:before="120" w:after="120"/>
      <w:ind w:firstLine="1440" w:start="0" w:end="0"/>
      <w:outlineLvl w:val="1"/>
    </w:pPr>
    <w:rPr>
      <w:rFonts w:ascii="Arial" w:hAnsi="Arial" w:cs="Arial"/>
      <w:b/>
      <w:bCs/>
    </w:rPr>
  </w:style>
  <w:style w:type="paragraph" w:styleId="Heading3">
    <w:name w:val="heading 3"/>
    <w:basedOn w:val="Normal"/>
    <w:next w:val="Normal"/>
    <w:qFormat/>
    <w:pPr>
      <w:keepNext w:val="true"/>
      <w:numPr>
        <w:ilvl w:val="2"/>
        <w:numId w:val="1"/>
      </w:numPr>
      <w:tabs>
        <w:tab w:val="clear" w:pos="720"/>
        <w:tab w:val="left" w:pos="360" w:leader="none"/>
      </w:tabs>
      <w:outlineLvl w:val="2"/>
    </w:pPr>
    <w:rPr>
      <w:b/>
      <w:bCs/>
      <w:i/>
      <w:iCs/>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Times New Roman"/>
    </w:rPr>
  </w:style>
  <w:style w:type="character" w:styleId="WW8Num3z1">
    <w:name w:val="WW8Num3z1"/>
    <w:qFormat/>
    <w:rPr>
      <w:rFonts w:ascii="Courier New" w:hAnsi="Courier New" w:cs="Courier New"/>
    </w:rPr>
  </w:style>
  <w:style w:type="character" w:styleId="WW8Num3z2">
    <w:name w:val="WW8Num3z2"/>
    <w:qFormat/>
    <w:rPr>
      <w:rFonts w:ascii="Wingdings" w:hAnsi="Wingdings" w:cs="Times New Roman"/>
    </w:rPr>
  </w:style>
  <w:style w:type="character" w:styleId="WW8Num4z0">
    <w:name w:val="WW8Num4z0"/>
    <w:qFormat/>
    <w:rPr>
      <w:rFonts w:ascii="Symbol" w:hAnsi="Symbol" w:cs="Times New Roman"/>
    </w:rPr>
  </w:style>
  <w:style w:type="character" w:styleId="WW8Num4z1">
    <w:name w:val="WW8Num4z1"/>
    <w:qFormat/>
    <w:rPr>
      <w:rFonts w:ascii="Courier New" w:hAnsi="Courier New" w:cs="Courier New"/>
    </w:rPr>
  </w:style>
  <w:style w:type="character" w:styleId="WW8Num4z2">
    <w:name w:val="WW8Num4z2"/>
    <w:qFormat/>
    <w:rPr>
      <w:rFonts w:ascii="Wingdings" w:hAnsi="Wingdings" w:cs="Times New Roman"/>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Hyperlink">
    <w:name w:val="Hyperlink"/>
    <w:basedOn w:val="DefaultParagraphFont"/>
    <w:rPr>
      <w:color w:val="0000FF"/>
      <w:u w:val="single"/>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center"/>
    </w:pPr>
    <w:rPr>
      <w:b/>
      <w:bCs/>
      <w:u w:val="single"/>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spacing w:before="0" w:after="120"/>
    </w:pPr>
    <w:rPr>
      <w:sz w:val="20"/>
      <w:szCs w:val="20"/>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notes" Target="footnotes.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_rels/footnotes.xml.rels><?xml version="1.0" encoding="UTF-8"?>
<Relationships xmlns="http://schemas.openxmlformats.org/package/2006/relationships"><Relationship Id="rId1" Type="http://schemas.openxmlformats.org/officeDocument/2006/relationships/hyperlink" Target="http://www.energyonline.com/news/articles/g23-4ca.asp" TargetMode="Externa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2001-08-24T20:35:00Z</dcterms:created>
  <dc:creator>Bill Marcus</dc:creator>
  <dc:description/>
  <dc:language>en-CA</dc:language>
  <cp:lastModifiedBy>Bill Marcus</cp:lastModifiedBy>
  <dcterms:modified xsi:type="dcterms:W3CDTF">2001-08-24T20:35:00Z</dcterms:modified>
  <cp:revision>2</cp:revision>
  <dc:subject/>
  <dc:title>How to Get 90% of the Capital Cost of a Plant that Lasts 30 Years Back in Only Three Years at the Expense of Californians – Ju</dc:title>
</cp:coreProperties>
</file>