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Contract Approval Memo </w:t>
      </w:r>
    </w:p>
    <w:p>
      <w:pPr>
        <w:pStyle w:val="Heading"/>
        <w:rPr/>
      </w:pPr>
      <w:r>
        <w:rPr/>
        <w:t>For Blanket Purchase Agreement</w:t>
      </w:r>
    </w:p>
    <w:p>
      <w:pPr>
        <w:pStyle w:val="Heading"/>
        <w:rPr/>
      </w:pPr>
      <w:r>
        <w:rPr/>
        <w:t xml:space="preserve">Between </w:t>
      </w:r>
    </w:p>
    <w:p>
      <w:pPr>
        <w:pStyle w:val="Heading"/>
        <w:rPr/>
      </w:pPr>
      <w:r>
        <w:rPr/>
        <w:t>Enron Pipeline Services Company and Cooper Cameron Corporation</w:t>
      </w:r>
    </w:p>
    <w:p>
      <w:pPr>
        <w:pStyle w:val="Normal"/>
        <w:rPr/>
      </w:pPr>
      <w:r>
        <w:rPr/>
      </w:r>
    </w:p>
    <w:p>
      <w:pPr>
        <w:pStyle w:val="Normal"/>
        <w:rPr/>
      </w:pPr>
      <w:r>
        <w:rPr/>
      </w:r>
    </w:p>
    <w:p>
      <w:pPr>
        <w:pStyle w:val="Normal"/>
        <w:numPr>
          <w:ilvl w:val="0"/>
          <w:numId w:val="1"/>
        </w:numPr>
        <w:rPr/>
      </w:pPr>
      <w:r>
        <w:rPr>
          <w:b/>
        </w:rPr>
        <w:t>Counterparty Company</w:t>
      </w:r>
      <w:r>
        <w:rPr/>
        <w:t>: Cooper Cameron Corporation, acting through its subsidiaries Cooper Energy Services and Cooper Cameron Valves.</w:t>
      </w:r>
    </w:p>
    <w:p>
      <w:pPr>
        <w:pStyle w:val="Normal"/>
        <w:rPr/>
      </w:pPr>
      <w:r>
        <w:rPr/>
      </w:r>
    </w:p>
    <w:p>
      <w:pPr>
        <w:pStyle w:val="Normal"/>
        <w:numPr>
          <w:ilvl w:val="0"/>
          <w:numId w:val="1"/>
        </w:numPr>
        <w:rPr/>
      </w:pPr>
      <w:r>
        <w:rPr>
          <w:b/>
        </w:rPr>
        <w:t>Nature of Contract</w:t>
      </w:r>
      <w:r>
        <w:rPr/>
        <w:t>: An agreement between EPSC and Cooper for EPSC and its subsidiaries and affiliates to purchase $18 million worth of goods and services (minimum purchase amount or “MPA”) as defined in the contract over two years, $6 million of which needs to be incremental business, as defined in the contract.</w:t>
      </w:r>
    </w:p>
    <w:p>
      <w:pPr>
        <w:pStyle w:val="Normal"/>
        <w:rPr/>
      </w:pPr>
      <w:r>
        <w:rPr/>
      </w:r>
    </w:p>
    <w:p>
      <w:pPr>
        <w:pStyle w:val="Normal"/>
        <w:numPr>
          <w:ilvl w:val="0"/>
          <w:numId w:val="1"/>
        </w:numPr>
        <w:rPr/>
      </w:pPr>
      <w:r>
        <w:rPr>
          <w:b/>
        </w:rPr>
        <w:t>Key Provisions and Issues</w:t>
      </w:r>
      <w:r>
        <w:rPr/>
        <w:t xml:space="preserve">: </w:t>
      </w:r>
    </w:p>
    <w:p>
      <w:pPr>
        <w:pStyle w:val="Normal"/>
        <w:rPr/>
      </w:pPr>
      <w:r>
        <w:rPr/>
      </w:r>
    </w:p>
    <w:p>
      <w:pPr>
        <w:pStyle w:val="Normal"/>
        <w:numPr>
          <w:ilvl w:val="1"/>
          <w:numId w:val="1"/>
        </w:numPr>
        <w:rPr/>
      </w:pPr>
      <w:r>
        <w:rPr>
          <w:i/>
        </w:rPr>
        <w:t>Section 1</w:t>
      </w:r>
      <w:r>
        <w:rPr/>
        <w:t>: The definition of “Incremental Business” was a long debated issue and was left fairly vague.  Engines, in particular, is what Cooper would like EPSC to buy, however, our need for them is limited.  EPSC did say it would try to purchase an engine, but in no way made any commitment to do so.  Broadly speaking, Incremental Business is either new Goods or Services purchases by a Buyer that previously did business with Cooper, but not in the new areas, or any business done by a Buyer that has not previously done business with Cooper.  Randy Bissey and Shirley Jo Wilson are supposed to meet and agree on whether a purchase is considered Incremental Business.</w:t>
      </w:r>
    </w:p>
    <w:p>
      <w:pPr>
        <w:pStyle w:val="Normal"/>
        <w:numPr>
          <w:ilvl w:val="1"/>
          <w:numId w:val="1"/>
        </w:numPr>
        <w:rPr/>
      </w:pPr>
      <w:r>
        <w:rPr>
          <w:i/>
        </w:rPr>
        <w:t>Section 2C</w:t>
      </w:r>
      <w:r>
        <w:rPr/>
        <w:t>: Cooper originally wanted EPSC to be liable for all purchases, but agreed to the language in the document that limits it to the Buyers placing the purchase order.</w:t>
      </w:r>
    </w:p>
    <w:p>
      <w:pPr>
        <w:pStyle w:val="Normal"/>
        <w:numPr>
          <w:ilvl w:val="1"/>
          <w:numId w:val="1"/>
        </w:numPr>
        <w:rPr/>
      </w:pPr>
      <w:r>
        <w:rPr>
          <w:i/>
        </w:rPr>
        <w:t>Section 2D</w:t>
      </w:r>
      <w:r>
        <w:rPr/>
        <w:t>: Cooper is not the seller of first choice and EPSC has the ability to purchase like items from other companies.  However, EPSC must meet its financial obligation to Cooper.  At Cooper’s suggestion, language was added that would allow EPSC to purchase items from a Cooper Authorized Dealer at a lower price than provided for in Section 13, but the purchase could be counted towards MPA at the higher price.</w:t>
      </w:r>
    </w:p>
    <w:p>
      <w:pPr>
        <w:pStyle w:val="Normal"/>
        <w:numPr>
          <w:ilvl w:val="1"/>
          <w:numId w:val="1"/>
        </w:numPr>
        <w:rPr/>
      </w:pPr>
      <w:r>
        <w:rPr>
          <w:i/>
        </w:rPr>
        <w:t>Section 3</w:t>
      </w:r>
      <w:r>
        <w:rPr/>
        <w:t>: Although the defined term of the agreement is from January 1, 2001 to December 31, 2002, purchases made after the signing of the letter agreement on September 29, 2000 will count towards the MPA.  Additionally, purchase orders placed before the end of the term, but not yet received will be counted towards MPA.  The term of the agreement may be extended by agreement of both parties, but Cooper did not want to leave it open-ended and therefore a maximum of twelve months for an extension was agreed upon.</w:t>
      </w:r>
    </w:p>
    <w:p>
      <w:pPr>
        <w:pStyle w:val="Normal"/>
        <w:numPr>
          <w:ilvl w:val="1"/>
          <w:numId w:val="1"/>
        </w:numPr>
        <w:rPr/>
      </w:pPr>
      <w:r>
        <w:rPr>
          <w:i/>
        </w:rPr>
        <w:t>Section 6</w:t>
      </w:r>
      <w:r>
        <w:rPr/>
        <w:t xml:space="preserve">: Ownership passes at the Cooper factory of manufacture.  This was not EPSC’s first choice, but EPSC did agree to it.  </w:t>
      </w:r>
    </w:p>
    <w:p>
      <w:pPr>
        <w:pStyle w:val="Normal"/>
        <w:numPr>
          <w:ilvl w:val="1"/>
          <w:numId w:val="1"/>
        </w:numPr>
        <w:rPr/>
      </w:pPr>
      <w:r>
        <w:rPr>
          <w:i/>
        </w:rPr>
        <w:t>Section 7</w:t>
      </w:r>
      <w:r>
        <w:rPr/>
        <w:t>: If Cooper does not meet its obligations under a particular purchase order and EPSC is thereby forced to purchase the goods or services from another company, Cooper will pay any additional expenses associated with the other purchase.  This Section is not meant to make Cooper liable for additional damages that EPSC may incur.  The example of Cooper not being liable for a pipeline exploding due to EPSC receiving a part late.</w:t>
      </w:r>
    </w:p>
    <w:p>
      <w:pPr>
        <w:pStyle w:val="Normal"/>
        <w:numPr>
          <w:ilvl w:val="1"/>
          <w:numId w:val="1"/>
        </w:numPr>
        <w:rPr/>
      </w:pPr>
      <w:r>
        <w:rPr>
          <w:i/>
        </w:rPr>
        <w:t>Section 8</w:t>
      </w:r>
      <w:r>
        <w:rPr/>
        <w:t>: EPSC is to receive a 15 percent discount off the defined list price (Exhibit B) for incremental business and 20 percent for additional incremental business, as defined in the contract. EPSC also has the option not to exercise these discounts if it can obtain more favorable pricing through another mechanism.  Regardless of how the purchases are made, the higher value will be counted towards the MPA.  This is not a “most favored nations” clause.</w:t>
      </w:r>
    </w:p>
    <w:p>
      <w:pPr>
        <w:pStyle w:val="Normal"/>
        <w:numPr>
          <w:ilvl w:val="1"/>
          <w:numId w:val="1"/>
        </w:numPr>
        <w:rPr/>
      </w:pPr>
      <w:r>
        <w:rPr>
          <w:i/>
        </w:rPr>
        <w:t>Section 9</w:t>
      </w:r>
      <w:r>
        <w:rPr/>
        <w:t>:</w:t>
      </w:r>
    </w:p>
    <w:p>
      <w:pPr>
        <w:pStyle w:val="Normal"/>
        <w:numPr>
          <w:ilvl w:val="2"/>
          <w:numId w:val="1"/>
        </w:numPr>
        <w:rPr/>
      </w:pPr>
      <w:r>
        <w:rPr>
          <w:i/>
        </w:rPr>
        <w:t>9A</w:t>
      </w:r>
      <w:r>
        <w:rPr/>
        <w:t>: MPA is $18 million of which $6 million is incremental business.  Only $3 million of the incremental business can be valves.  The incremental business and additional incremental provision were added to give incentive to both parties to expand the relationship between them.  Cooper is already a strategic alliance partner, but EPSC is trying to help them grow their business.</w:t>
      </w:r>
    </w:p>
    <w:p>
      <w:pPr>
        <w:pStyle w:val="Normal"/>
        <w:numPr>
          <w:ilvl w:val="2"/>
          <w:numId w:val="1"/>
        </w:numPr>
        <w:rPr/>
      </w:pPr>
      <w:r>
        <w:rPr>
          <w:i/>
        </w:rPr>
        <w:t>9B</w:t>
      </w:r>
      <w:r>
        <w:rPr/>
        <w:t>: EPSC will use reasonable efforts to purchase 50 percent of the incremental business in each year.  If it does not achieve this in the first year there will be a 10 percent penalty added to the second year.  If it does not meet its complete obligation by the end of the second year, there will not be an additional 10 percent penalty.  The only penalty will be for not meeting its obligations as defined in Section 9C(ii).</w:t>
      </w:r>
    </w:p>
    <w:p>
      <w:pPr>
        <w:pStyle w:val="Normal"/>
        <w:numPr>
          <w:ilvl w:val="2"/>
          <w:numId w:val="1"/>
        </w:numPr>
        <w:rPr/>
      </w:pPr>
      <w:r>
        <w:rPr>
          <w:i/>
        </w:rPr>
        <w:t>9C(i)</w:t>
      </w:r>
      <w:r>
        <w:rPr/>
        <w:t>: If EPSC cancels a purchase order their will be a 10 percent cancellation fee in addition to costs incurred by Cooper.  Cancellation fees and costs associated with canceling will not be counted towards the MPA.</w:t>
      </w:r>
    </w:p>
    <w:p>
      <w:pPr>
        <w:pStyle w:val="Normal"/>
        <w:numPr>
          <w:ilvl w:val="2"/>
          <w:numId w:val="1"/>
        </w:numPr>
        <w:rPr/>
      </w:pPr>
      <w:r>
        <w:rPr>
          <w:i/>
        </w:rPr>
        <w:t>9C(ii)</w:t>
      </w:r>
      <w:r>
        <w:rPr/>
        <w:t>: If the EPSC does not meet its obligation at the end of the term, EPSC will owe Cooper 25 percent of the remaining obligation.  The $13 million advance payment can be used to offset any EPSC obligation.  After EPSC has met its obligations under this agreement, Cooper will repay the remaining amount of the $13 million in cash and/or goods, the last $1 million of which will be in cash.</w:t>
      </w:r>
    </w:p>
    <w:p>
      <w:pPr>
        <w:pStyle w:val="Normal"/>
        <w:numPr>
          <w:ilvl w:val="2"/>
          <w:numId w:val="1"/>
        </w:numPr>
        <w:rPr/>
      </w:pPr>
      <w:r>
        <w:rPr>
          <w:i/>
        </w:rPr>
        <w:t>9D</w:t>
      </w:r>
      <w:r>
        <w:rPr/>
        <w:t>: If EPSC surpasses the MPA through other than incremental business, it will receive at 75 percent rebate on the amount over the MPA.</w:t>
      </w:r>
    </w:p>
    <w:p>
      <w:pPr>
        <w:pStyle w:val="Normal"/>
        <w:numPr>
          <w:ilvl w:val="1"/>
          <w:numId w:val="1"/>
        </w:numPr>
        <w:rPr/>
      </w:pPr>
      <w:r>
        <w:rPr>
          <w:i/>
        </w:rPr>
        <w:t xml:space="preserve">Section 12: </w:t>
      </w:r>
      <w:r>
        <w:rPr/>
        <w:t>Cooper will pay for additional costs if they have to purchase a Good on the market for a higher price than they charge EPSC.</w:t>
      </w:r>
    </w:p>
    <w:p>
      <w:pPr>
        <w:pStyle w:val="Normal"/>
        <w:numPr>
          <w:ilvl w:val="1"/>
          <w:numId w:val="1"/>
        </w:numPr>
        <w:rPr/>
      </w:pPr>
      <w:r>
        <w:rPr>
          <w:i/>
        </w:rPr>
        <w:t>Section 13A:</w:t>
      </w:r>
      <w:r>
        <w:rPr/>
        <w:t xml:space="preserve"> The $13 million advance payment does not go towards the MPA until purchases are made against it and is reimbursable to EPSC in the event of default, as mentioned in Section 9C(ii).</w:t>
      </w:r>
    </w:p>
    <w:p>
      <w:pPr>
        <w:pStyle w:val="Normal"/>
        <w:numPr>
          <w:ilvl w:val="1"/>
          <w:numId w:val="1"/>
        </w:numPr>
        <w:rPr/>
      </w:pPr>
      <w:r>
        <w:rPr>
          <w:i/>
        </w:rPr>
        <w:t>Section 19A:</w:t>
      </w:r>
      <w:r>
        <w:rPr/>
        <w:t xml:space="preserve"> Non-new Goods are basically Goods that may have been returned to Cooper, but are still in good working order, and possibly still in their original packaging.  The warranty on these items only applies to Cooper parts.  Other manufacturer’s parts are warrantied under their original warranties.</w:t>
      </w:r>
    </w:p>
    <w:p>
      <w:pPr>
        <w:pStyle w:val="Normal"/>
        <w:numPr>
          <w:ilvl w:val="1"/>
          <w:numId w:val="1"/>
        </w:numPr>
        <w:rPr/>
      </w:pPr>
      <w:r>
        <w:rPr>
          <w:i/>
        </w:rPr>
        <w:t>Section 34:</w:t>
      </w:r>
      <w:r>
        <w:rPr/>
        <w:t xml:space="preserve"> This Section regarding Arbitration was lifted from the National Purchase Agreement, which is a separate agreement that Cooper and EPSC are negotiating.</w:t>
      </w:r>
    </w:p>
    <w:p>
      <w:pPr>
        <w:pStyle w:val="Normal"/>
        <w:numPr>
          <w:ilvl w:val="1"/>
          <w:numId w:val="1"/>
        </w:numPr>
        <w:rPr/>
      </w:pPr>
      <w:r>
        <w:rPr>
          <w:i/>
        </w:rPr>
        <w:t>Miscellaneous</w:t>
      </w:r>
      <w:r>
        <w:rPr/>
        <w:t>: Sections regarding Non-Inventory and Reports were eliminated from the original drafts after EPSC’s Operations and Strategic Sourcing staff decided they were unnecessary for this agreement.  For similar reasons Exhibits for EPSC’s Approved Manufacturer’s List and EPSC’s Quarterly Delivery Analysis Report were eliminated.</w:t>
      </w:r>
    </w:p>
    <w:p>
      <w:pPr>
        <w:pStyle w:val="Normal"/>
        <w:rPr>
          <w:i/>
          <w:i/>
        </w:rPr>
      </w:pPr>
      <w:r>
        <w:rPr>
          <w:i/>
        </w:rPr>
      </w:r>
    </w:p>
    <w:p>
      <w:pPr>
        <w:pStyle w:val="Normal"/>
        <w:rPr/>
      </w:pPr>
      <w:r>
        <w:rPr/>
        <w:t>Agreed to by:</w:t>
      </w:r>
    </w:p>
    <w:p>
      <w:pPr>
        <w:pStyle w:val="Normal"/>
        <w:rPr/>
      </w:pPr>
      <w:r>
        <w:rPr/>
      </w:r>
    </w:p>
    <w:p>
      <w:pPr>
        <w:pStyle w:val="Normal"/>
        <w:rPr/>
      </w:pPr>
      <w:r>
        <w:rPr/>
      </w:r>
    </w:p>
    <w:p>
      <w:pPr>
        <w:pStyle w:val="Normal"/>
        <w:rPr/>
      </w:pPr>
      <w:r>
        <w:rPr/>
      </w:r>
    </w:p>
    <w:tbl>
      <w:tblPr>
        <w:tblW w:w="9223" w:type="dxa"/>
        <w:jc w:val="start"/>
        <w:tblInd w:w="0" w:type="dxa"/>
        <w:tblLayout w:type="fixed"/>
        <w:tblCellMar>
          <w:top w:w="0" w:type="dxa"/>
          <w:start w:w="108" w:type="dxa"/>
          <w:bottom w:w="0" w:type="dxa"/>
          <w:end w:w="108" w:type="dxa"/>
        </w:tblCellMar>
      </w:tblPr>
      <w:tblGrid>
        <w:gridCol w:w="4428"/>
        <w:gridCol w:w="360"/>
        <w:gridCol w:w="4435"/>
      </w:tblGrid>
      <w:tr>
        <w:trPr/>
        <w:tc>
          <w:tcPr>
            <w:tcW w:w="4428" w:type="dxa"/>
            <w:tcBorders>
              <w:top w:val="single" w:sz="4" w:space="0" w:color="000000"/>
              <w:bottom w:val="single" w:sz="4" w:space="0" w:color="000000"/>
            </w:tcBorders>
          </w:tcPr>
          <w:p>
            <w:pPr>
              <w:pStyle w:val="Normal"/>
              <w:rPr/>
            </w:pPr>
            <w:r>
              <w:rPr/>
              <w:t>Morris Brassfield</w:t>
            </w:r>
          </w:p>
          <w:p>
            <w:pPr>
              <w:pStyle w:val="Normal"/>
              <w:rPr/>
            </w:pPr>
            <w:r>
              <w:rPr/>
              <w:t>Operations</w:t>
            </w:r>
          </w:p>
          <w:p>
            <w:pPr>
              <w:pStyle w:val="Normal"/>
              <w:rPr/>
            </w:pPr>
            <w:r>
              <w:rPr/>
            </w:r>
          </w:p>
          <w:p>
            <w:pPr>
              <w:pStyle w:val="Normal"/>
              <w:rPr/>
            </w:pPr>
            <w:r>
              <w:rPr/>
            </w:r>
          </w:p>
          <w:p>
            <w:pPr>
              <w:pStyle w:val="Normal"/>
              <w:rPr/>
            </w:pPr>
            <w:r>
              <w:rPr/>
            </w:r>
          </w:p>
        </w:tc>
        <w:tc>
          <w:tcPr>
            <w:tcW w:w="360" w:type="dxa"/>
            <w:tcBorders/>
          </w:tcPr>
          <w:p>
            <w:pPr>
              <w:pStyle w:val="Normal"/>
              <w:snapToGrid w:val="false"/>
              <w:rPr/>
            </w:pPr>
            <w:r>
              <w:rPr/>
            </w:r>
          </w:p>
        </w:tc>
        <w:tc>
          <w:tcPr>
            <w:tcW w:w="4435" w:type="dxa"/>
            <w:tcBorders>
              <w:top w:val="single" w:sz="4" w:space="0" w:color="000000"/>
              <w:bottom w:val="single" w:sz="4" w:space="0" w:color="000000"/>
            </w:tcBorders>
          </w:tcPr>
          <w:p>
            <w:pPr>
              <w:pStyle w:val="Normal"/>
              <w:rPr/>
            </w:pPr>
            <w:r>
              <w:rPr/>
              <w:t>Michael Ratner</w:t>
            </w:r>
          </w:p>
          <w:p>
            <w:pPr>
              <w:pStyle w:val="Normal"/>
              <w:rPr/>
            </w:pPr>
            <w:r>
              <w:rPr/>
              <w:t>Accounting and Finance</w:t>
            </w:r>
          </w:p>
        </w:tc>
      </w:tr>
      <w:tr>
        <w:trPr/>
        <w:tc>
          <w:tcPr>
            <w:tcW w:w="4428" w:type="dxa"/>
            <w:tcBorders>
              <w:top w:val="single" w:sz="4" w:space="0" w:color="000000"/>
              <w:bottom w:val="single" w:sz="4" w:space="0" w:color="000000"/>
            </w:tcBorders>
          </w:tcPr>
          <w:p>
            <w:pPr>
              <w:pStyle w:val="Normal"/>
              <w:rPr/>
            </w:pPr>
            <w:r>
              <w:rPr/>
              <w:t>Rod Hayslett</w:t>
            </w:r>
          </w:p>
          <w:p>
            <w:pPr>
              <w:pStyle w:val="Normal"/>
              <w:rPr/>
            </w:pPr>
            <w:r>
              <w:rPr/>
              <w:t>Accounting and Finance</w:t>
            </w:r>
          </w:p>
        </w:tc>
        <w:tc>
          <w:tcPr>
            <w:tcW w:w="360" w:type="dxa"/>
            <w:tcBorders/>
          </w:tcPr>
          <w:p>
            <w:pPr>
              <w:pStyle w:val="Normal"/>
              <w:snapToGrid w:val="false"/>
              <w:rPr/>
            </w:pPr>
            <w:r>
              <w:rPr/>
            </w:r>
          </w:p>
        </w:tc>
        <w:tc>
          <w:tcPr>
            <w:tcW w:w="4435" w:type="dxa"/>
            <w:tcBorders>
              <w:top w:val="single" w:sz="4" w:space="0" w:color="000000"/>
              <w:bottom w:val="single" w:sz="4" w:space="0" w:color="000000"/>
            </w:tcBorders>
          </w:tcPr>
          <w:p>
            <w:pPr>
              <w:pStyle w:val="Normal"/>
              <w:rPr/>
            </w:pPr>
            <w:r>
              <w:rPr/>
              <w:t>James Saunders</w:t>
            </w:r>
          </w:p>
          <w:p>
            <w:pPr>
              <w:pStyle w:val="Normal"/>
              <w:rPr/>
            </w:pPr>
            <w:r>
              <w:rPr/>
              <w:t>Accounting and Finance</w:t>
            </w:r>
          </w:p>
          <w:p>
            <w:pPr>
              <w:pStyle w:val="Normal"/>
              <w:rPr/>
            </w:pPr>
            <w:r>
              <w:rPr/>
            </w:r>
          </w:p>
          <w:p>
            <w:pPr>
              <w:pStyle w:val="Normal"/>
              <w:rPr/>
            </w:pPr>
            <w:r>
              <w:rPr/>
            </w:r>
          </w:p>
          <w:p>
            <w:pPr>
              <w:pStyle w:val="Normal"/>
              <w:rPr/>
            </w:pPr>
            <w:r>
              <w:rPr/>
            </w:r>
          </w:p>
        </w:tc>
      </w:tr>
      <w:tr>
        <w:trPr/>
        <w:tc>
          <w:tcPr>
            <w:tcW w:w="4428" w:type="dxa"/>
            <w:tcBorders>
              <w:top w:val="single" w:sz="4" w:space="0" w:color="000000"/>
            </w:tcBorders>
          </w:tcPr>
          <w:p>
            <w:pPr>
              <w:pStyle w:val="Normal"/>
              <w:rPr/>
            </w:pPr>
            <w:r>
              <w:rPr/>
              <w:t>Colleen Raker</w:t>
            </w:r>
          </w:p>
          <w:p>
            <w:pPr>
              <w:pStyle w:val="Normal"/>
              <w:rPr/>
            </w:pPr>
            <w:r>
              <w:rPr/>
              <w:t>Legal</w:t>
            </w:r>
          </w:p>
        </w:tc>
        <w:tc>
          <w:tcPr>
            <w:tcW w:w="360" w:type="dxa"/>
            <w:tcBorders/>
          </w:tcPr>
          <w:p>
            <w:pPr>
              <w:pStyle w:val="Normal"/>
              <w:snapToGrid w:val="false"/>
              <w:rPr/>
            </w:pPr>
            <w:r>
              <w:rPr/>
            </w:r>
          </w:p>
        </w:tc>
        <w:tc>
          <w:tcPr>
            <w:tcW w:w="4435" w:type="dxa"/>
            <w:tcBorders>
              <w:top w:val="single" w:sz="4" w:space="0" w:color="000000"/>
            </w:tcBorders>
          </w:tcPr>
          <w:p>
            <w:pPr>
              <w:pStyle w:val="Normal"/>
              <w:rPr/>
            </w:pPr>
            <w:r>
              <w:rPr/>
              <w:t>Shirley Jo Wilson</w:t>
            </w:r>
          </w:p>
          <w:p>
            <w:pPr>
              <w:pStyle w:val="Normal"/>
              <w:rPr/>
            </w:pPr>
            <w:r>
              <w:rPr/>
              <w:t>Strategic Sourcing</w:t>
            </w:r>
          </w:p>
        </w:tc>
      </w:tr>
    </w:tbl>
    <w:p>
      <w:pPr>
        <w:pStyle w:val="Header"/>
        <w:tabs>
          <w:tab w:val="clear" w:pos="4320"/>
          <w:tab w:val="clear" w:pos="8640"/>
        </w:tabs>
        <w:rPr/>
      </w:pPr>
      <w:r>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jc w:val="end"/>
      <w:rPr/>
    </w:pPr>
    <w:r>
      <w:rPr/>
      <w:t xml:space="preserve">Contract Approval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2000-11-20T18:29:00Z</dcterms:created>
  <dc:creator>MLR</dc:creator>
  <dc:description/>
  <dc:language>en-CA</dc:language>
  <cp:lastModifiedBy>MLR</cp:lastModifiedBy>
  <dcterms:modified xsi:type="dcterms:W3CDTF">2000-12-05T20:56:00Z</dcterms:modified>
  <cp:revision>11</cp:revision>
  <dc:subject/>
  <dc:title>Contract Approval</dc:title>
</cp:coreProperties>
</file>