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NUCLEAR OUTAGE KNOCK-IN CALL OPTION</w:t>
      </w:r>
    </w:p>
    <w:p>
      <w:pPr>
        <w:pStyle w:val="Heading2"/>
        <w:ind w:hanging="0" w:start="0"/>
        <w:rPr/>
      </w:pPr>
      <w:r>
        <w:rPr/>
        <w:t>LONG DESCRIPTION</w:t>
      </w:r>
    </w:p>
    <w:p>
      <w:pPr>
        <w:pStyle w:val="Normal"/>
        <w:jc w:val="center"/>
        <w:rPr>
          <w:b/>
          <w:bCs/>
        </w:rPr>
      </w:pPr>
      <w:r>
        <w:rPr>
          <w:b/>
          <w:bCs/>
        </w:rPr>
      </w:r>
    </w:p>
    <w:p>
      <w:pPr>
        <w:pStyle w:val="BodyText"/>
        <w:rPr/>
      </w:pPr>
      <w:r>
        <w:rPr>
          <w:caps/>
        </w:rPr>
        <w:t>US P</w:t>
      </w:r>
      <w:r>
        <w:rPr/>
        <w:t>wr Fin Opt 01 EC100 PJMW Peak 15Jul-31Jul00 USD/MWh</w:t>
      </w:r>
    </w:p>
    <w:p>
      <w:pPr>
        <w:pStyle w:val="BodyText"/>
        <w:rPr>
          <w:caps/>
        </w:rPr>
      </w:pPr>
      <w:r>
        <w:rPr>
          <w:caps/>
        </w:rPr>
      </w:r>
    </w:p>
    <w:p>
      <w:pPr>
        <w:pStyle w:val="BodyTextIndent"/>
        <w:rPr/>
      </w:pPr>
      <w:r>
        <w:rPr>
          <w:caps/>
        </w:rPr>
        <w:t xml:space="preserve">A US </w:t>
      </w:r>
      <w:r>
        <w:rPr/>
        <w:t>Power Financial Knock-In Call Option Transaction with Enron North America  Corp. (“ENA”) under which Buyer shall pay Seller on the Premium Payment Date a Premium Payment equal to the product of (i) the amount submitted by Buyer via the website, (ii) the Notional Quantity and (iii) the number of Peak hours during the term of the Transaction, and Seller shall pay Buyer an amount (if any) for each Peak hour during a Knock-In Event equal to the product of (i) the Notional Quantity and (ii) the excess of the Floating Price over the Strike Price (the “Cash Settlement Amount”). If for any Peak hour the Floating Price is equal to or less than the Strike Price, then no payment shall be due with respect to such Peak hour. The total Cash Settlement Amount for each Determination Period shall be the lesser of (i) the sum of the actual Cash Settlement Amounts for all Peak hours during such Determination Period; or (ii) US Dollars $4,000,000.00 (the “Total Cash Settlement Amount”).  The Notional Quantity per Determination Period shall be the volume submitted by the Buyer on the website.  Each calendar month during the term of the Transaction will be a Determination Period; provided, that if the term of the Transaction is less than one calendar month, the Determination Period shall be the term of the Transaction.  The Premium Payment Date will be three (3) days after the trade date of the Transaction.  The Total Cash Settlement Amount will be payable by the thirtieth (30</w:t>
      </w:r>
      <w:r>
        <w:rPr>
          <w:vertAlign w:val="superscript"/>
        </w:rPr>
        <w:t>th</w:t>
      </w:r>
      <w:r>
        <w:rPr/>
        <w:t>) calendar day following the last day of the Determination Period (the “Payment Date”).</w:t>
      </w:r>
    </w:p>
    <w:p>
      <w:pPr>
        <w:pStyle w:val="BodyTextIndent"/>
        <w:rPr/>
      </w:pPr>
      <w:r>
        <w:rPr/>
      </w:r>
    </w:p>
    <w:p>
      <w:pPr>
        <w:pStyle w:val="BodyTextIndent"/>
        <w:ind w:start="1440" w:end="0"/>
        <w:rPr/>
      </w:pPr>
      <w:r>
        <w:rPr/>
        <w:t>A “Knock-In Event” is the contemporaneous Covered Outage of [one/two/three] of the nuclear units in the Outage Index.   An outage of a unit otherwise meeting the definition of a Covered Outage that is caused by or results from (either directly or indirectly) Force Majeure (as defined in the GTC) shall in no event be included as a Covered Outage for purposes of determining the occurrence of a Knock-In Event, even if the Force Majeure is not the immediate proximate cause of the Covered Outage. A Knock-In Event will be begin on the later of (i) 7:00 a.m. E.P.T. on the first day the Knock-In Event occurs or (ii) 7:00 a.m. E.P.T. on the Effective Date.  A Knock-In Event will conclude upon the earlier of (i) the expiration of 160 Peak hours from the beginning of the Knock-In Event; (ii) 11:00 p.m. E.P.T. on the last day during which there are contemporaneous Covered Outages of at least [one/two/three] of the nuclear units listed in the Outage Index; or (iii) 11:00 p.m. E.P.T. on the Termination Date.  More than one Knock-In Event may occur during the Determination Period.</w:t>
      </w:r>
    </w:p>
    <w:p>
      <w:pPr>
        <w:pStyle w:val="BodyTextIndent"/>
        <w:rPr/>
      </w:pPr>
      <w:r>
        <w:rPr/>
      </w:r>
    </w:p>
    <w:p>
      <w:pPr>
        <w:pStyle w:val="BodyTextIndent"/>
        <w:ind w:start="1440" w:end="0"/>
        <w:rPr/>
      </w:pPr>
      <w:r>
        <w:rPr/>
        <w:t xml:space="preserve">A “Covered Outage” occurs with respect to a particular unit when the Percent Power (% PWR) reported in the Plant Status Report (or any successor report thereto) of the U.S. Nuclear Regulatory Commission (the “NRC”) as currently located at </w:t>
      </w:r>
      <w:hyperlink r:id="rId2">
        <w:r>
          <w:rPr>
            <w:rStyle w:val="Hyperlink"/>
          </w:rPr>
          <w:t>www.NRC.gov</w:t>
        </w:r>
      </w:hyperlink>
      <w:r>
        <w:rPr/>
        <w:t xml:space="preserve">, or any successor thereto, under the heading “Nuclear Reactors” for that unit for a particular day is 25% or below. If the Percent Power for a particular unit is 25% or below for 160 consecutive hours immediately preceding the beginning of what would otherwise qualify as a Knock-In Event, the outage of such unit that would otherwise meet the definition of a Covered Outage will not be considered to be a Covered Outage.  </w:t>
      </w:r>
    </w:p>
    <w:p>
      <w:pPr>
        <w:pStyle w:val="BodyTextIndent"/>
        <w:ind w:start="1440" w:end="0"/>
        <w:rPr/>
      </w:pPr>
      <w:r>
        <w:rPr/>
      </w:r>
    </w:p>
    <w:p>
      <w:pPr>
        <w:pStyle w:val="Normal"/>
        <w:ind w:start="1440" w:end="0"/>
        <w:jc w:val="both"/>
        <w:rPr/>
      </w:pPr>
      <w:r>
        <w:rPr/>
        <w:t xml:space="preserve">Outage Index:  </w:t>
      </w:r>
    </w:p>
    <w:p>
      <w:pPr>
        <w:pStyle w:val="Normal"/>
        <w:ind w:firstLine="720" w:end="0"/>
        <w:jc w:val="both"/>
        <w:rPr/>
      </w:pPr>
      <w:r>
        <w:rPr/>
      </w:r>
    </w:p>
    <w:p>
      <w:pPr>
        <w:pStyle w:val="Normal"/>
        <w:ind w:firstLine="1440" w:end="0"/>
        <w:jc w:val="both"/>
        <w:rPr/>
      </w:pPr>
      <w:r>
        <w:rPr/>
        <w:tab/>
      </w:r>
      <w:r>
        <w:rPr>
          <w:u w:val="single"/>
        </w:rPr>
        <w:t>Plant Name</w:t>
      </w:r>
      <w:r>
        <w:rPr/>
        <w:tab/>
        <w:tab/>
        <w:tab/>
      </w:r>
      <w:r>
        <w:rPr>
          <w:u w:val="single"/>
        </w:rPr>
        <w:t>Location</w:t>
      </w:r>
      <w:r>
        <w:rPr/>
        <w:tab/>
        <w:tab/>
        <w:tab/>
      </w:r>
    </w:p>
    <w:p>
      <w:pPr>
        <w:pStyle w:val="Normal"/>
        <w:ind w:firstLine="720" w:end="0"/>
        <w:jc w:val="both"/>
        <w:rPr/>
      </w:pPr>
      <w:r>
        <w:rPr/>
      </w:r>
    </w:p>
    <w:p>
      <w:pPr>
        <w:pStyle w:val="Normal"/>
        <w:ind w:firstLine="720" w:end="0"/>
        <w:jc w:val="both"/>
        <w:rPr/>
      </w:pPr>
      <w:r>
        <w:rPr/>
        <w:tab/>
        <w:tab/>
        <w:t>Hope Creek Unit 1</w:t>
        <w:tab/>
        <w:tab/>
        <w:t>Delaware</w:t>
        <w:tab/>
      </w:r>
    </w:p>
    <w:p>
      <w:pPr>
        <w:pStyle w:val="Normal"/>
        <w:ind w:firstLine="720" w:end="0"/>
        <w:jc w:val="both"/>
        <w:rPr/>
      </w:pPr>
      <w:r>
        <w:rPr/>
        <w:tab/>
        <w:tab/>
        <w:t>Oystern Creek Unit 1</w:t>
        <w:tab/>
        <w:tab/>
        <w:t>New Jersey</w:t>
        <w:tab/>
        <w:tab/>
        <w:tab/>
      </w:r>
    </w:p>
    <w:p>
      <w:pPr>
        <w:pStyle w:val="Normal"/>
        <w:ind w:firstLine="720" w:end="0"/>
        <w:jc w:val="both"/>
        <w:rPr/>
      </w:pPr>
      <w:r>
        <w:rPr/>
        <w:tab/>
        <w:tab/>
        <w:t>Salem Unit 1</w:t>
        <w:tab/>
        <w:tab/>
        <w:tab/>
        <w:t>Delaware</w:t>
      </w:r>
    </w:p>
    <w:p>
      <w:pPr>
        <w:pStyle w:val="Normal"/>
        <w:ind w:firstLine="720" w:end="0"/>
        <w:jc w:val="both"/>
        <w:rPr/>
      </w:pPr>
      <w:r>
        <w:rPr/>
        <w:tab/>
        <w:tab/>
        <w:t>Salem Unit 2</w:t>
        <w:tab/>
        <w:tab/>
        <w:tab/>
        <w:t>Delaware</w:t>
      </w:r>
    </w:p>
    <w:p>
      <w:pPr>
        <w:pStyle w:val="Normal"/>
        <w:ind w:firstLine="720" w:end="0"/>
        <w:jc w:val="both"/>
        <w:rPr/>
      </w:pPr>
      <w:r>
        <w:rPr/>
        <w:tab/>
        <w:tab/>
        <w:t>Limerick Unit 1</w:t>
        <w:tab/>
        <w:tab/>
        <w:t>Pennsylvania</w:t>
      </w:r>
    </w:p>
    <w:p>
      <w:pPr>
        <w:pStyle w:val="Normal"/>
        <w:ind w:firstLine="720" w:end="0"/>
        <w:jc w:val="both"/>
        <w:rPr/>
      </w:pPr>
      <w:r>
        <w:rPr/>
        <w:tab/>
        <w:tab/>
        <w:t>Limerick Unit 2</w:t>
        <w:tab/>
        <w:tab/>
        <w:t>Pennsylvania</w:t>
      </w:r>
    </w:p>
    <w:p>
      <w:pPr>
        <w:pStyle w:val="Normal"/>
        <w:ind w:firstLine="720" w:end="0"/>
        <w:jc w:val="both"/>
        <w:rPr/>
      </w:pPr>
      <w:r>
        <w:rPr/>
        <w:tab/>
        <w:tab/>
        <w:t>Peach Bottom Unit 2</w:t>
        <w:tab/>
        <w:tab/>
        <w:t>Pennsylvania</w:t>
      </w:r>
    </w:p>
    <w:p>
      <w:pPr>
        <w:pStyle w:val="Normal"/>
        <w:ind w:firstLine="720" w:end="0"/>
        <w:jc w:val="both"/>
        <w:rPr/>
      </w:pPr>
      <w:r>
        <w:rPr/>
        <w:tab/>
        <w:tab/>
        <w:t>Peach Bottom Unit 3</w:t>
        <w:tab/>
        <w:tab/>
        <w:t>Pennsylvania</w:t>
      </w:r>
    </w:p>
    <w:p>
      <w:pPr>
        <w:pStyle w:val="Normal"/>
        <w:ind w:firstLine="720" w:end="0"/>
        <w:jc w:val="both"/>
        <w:rPr/>
      </w:pPr>
      <w:r>
        <w:rPr/>
        <w:tab/>
        <w:tab/>
        <w:t>Susquehanna Unit 1</w:t>
        <w:tab/>
        <w:tab/>
        <w:t>Pennsylvania</w:t>
      </w:r>
    </w:p>
    <w:p>
      <w:pPr>
        <w:pStyle w:val="Normal"/>
        <w:ind w:firstLine="720" w:end="0"/>
        <w:jc w:val="both"/>
        <w:rPr/>
      </w:pPr>
      <w:r>
        <w:rPr/>
        <w:tab/>
        <w:tab/>
        <w:t>Susquehanna Unit 2</w:t>
        <w:tab/>
        <w:tab/>
        <w:t>Pennsylvania</w:t>
      </w:r>
    </w:p>
    <w:p>
      <w:pPr>
        <w:pStyle w:val="Normal"/>
        <w:ind w:firstLine="720" w:end="0"/>
        <w:jc w:val="both"/>
        <w:rPr/>
      </w:pPr>
      <w:r>
        <w:rPr/>
        <w:tab/>
        <w:tab/>
        <w:t>Three Mile Island Unit 2</w:t>
        <w:tab/>
        <w:t>Pennsylvania</w:t>
      </w:r>
    </w:p>
    <w:p>
      <w:pPr>
        <w:pStyle w:val="Normal"/>
        <w:ind w:firstLine="720" w:end="0"/>
        <w:jc w:val="both"/>
        <w:rPr/>
      </w:pPr>
      <w:r>
        <w:rPr/>
        <w:tab/>
        <w:tab/>
        <w:t>Calvert Cliffs Unit 1</w:t>
        <w:tab/>
        <w:tab/>
        <w:t>Maryland</w:t>
      </w:r>
    </w:p>
    <w:p>
      <w:pPr>
        <w:pStyle w:val="BodyText"/>
        <w:rPr/>
      </w:pPr>
      <w:r>
        <w:rPr/>
        <w:tab/>
        <w:tab/>
        <w:tab/>
        <w:t>Calvert Cliffs Unit 2</w:t>
        <w:tab/>
        <w:tab/>
        <w:t>Maryland</w:t>
      </w:r>
    </w:p>
    <w:p>
      <w:pPr>
        <w:pStyle w:val="BodyText"/>
        <w:ind w:start="1440" w:end="0"/>
        <w:rPr/>
      </w:pPr>
      <w:r>
        <w:rPr/>
      </w:r>
    </w:p>
    <w:p>
      <w:pPr>
        <w:pStyle w:val="BodyText"/>
        <w:rPr>
          <w:caps/>
        </w:rPr>
      </w:pPr>
      <w:r>
        <w:rPr>
          <w:caps/>
        </w:rPr>
        <w:t xml:space="preserve">By submitting a transaction request via EnronOnline for this product, you expressly acknowledge and agree that the General Terms and Conditions (GTC), which you are required to accept before TRANSACTING ON THIS PRODUCT, will govern this transaction, notwithstanding any pROVISION to the contrary in the Electronic Trading Agreement or otherwise.  </w:t>
      </w:r>
    </w:p>
    <w:p>
      <w:pPr>
        <w:pStyle w:val="BodyText"/>
        <w:ind w:start="1440" w:end="0"/>
        <w:rPr/>
      </w:pPr>
      <w:r>
        <w:rPr/>
      </w:r>
    </w:p>
    <w:p>
      <w:pPr>
        <w:pStyle w:val="BodyText"/>
        <w:rPr/>
      </w:pPr>
      <w:r>
        <w:rPr/>
        <w:t>The transaction is for the applicable hours as set forth herein on each Delivery Day for the Effective Date 15 Jul 2000 to the Termination Date 31 Jul 2000.</w:t>
      </w:r>
    </w:p>
    <w:p>
      <w:pPr>
        <w:pStyle w:val="Normal"/>
        <w:spacing w:before="240" w:after="0"/>
        <w:rPr/>
      </w:pPr>
      <w:r>
        <w:rPr/>
        <w:t xml:space="preserve">The Floating Price for each Peak hour during a Determination Period shall be the hourly locational marginal price for electricity delivered at the Western Hub of the Pennsylvania-New Jersey-Maryland Interconnection during the Peak hour as published by PJM Interconnection, LLC (“PJM”) on the PJM official web site currently located at ftp://www.pjm.com/pub/account/lmp/index.html, or any successor thereto, under the heading “PJM-Locational Marginal Pricing Files” (which after the appropriate date is selected, identifies the hourly prices next to the caption “Western Hub”).  </w:t>
      </w:r>
    </w:p>
    <w:p>
      <w:pPr>
        <w:pStyle w:val="Normal"/>
        <w:jc w:val="both"/>
        <w:rPr/>
      </w:pPr>
      <w:r>
        <w:rPr/>
      </w:r>
    </w:p>
    <w:p>
      <w:pPr>
        <w:pStyle w:val="Normal"/>
        <w:jc w:val="both"/>
        <w:rPr/>
      </w:pPr>
      <w:r>
        <w:rPr/>
        <w:t xml:space="preserve">The Strike Price shall be $100.00 per MWh.  </w:t>
      </w:r>
    </w:p>
    <w:p>
      <w:pPr>
        <w:pStyle w:val="Normal"/>
        <w:jc w:val="both"/>
        <w:rPr/>
      </w:pPr>
      <w:r>
        <w:rPr/>
      </w:r>
    </w:p>
    <w:p>
      <w:pPr>
        <w:pStyle w:val="Normal"/>
        <w:jc w:val="both"/>
        <w:rPr/>
      </w:pPr>
      <w:r>
        <w:rPr/>
        <w:t>The Strike Price is quoted in US Dollars per unit of volume, which will be the Contractual Currency.  The unit of measure against which the price is quoted shall be megawatt-hours (MWh) and the Notional Quantity shall be in MW’s delivered in each applicable hour during the duration of the transaction.</w:t>
      </w:r>
    </w:p>
    <w:p>
      <w:pPr>
        <w:pStyle w:val="Normal"/>
        <w:jc w:val="both"/>
        <w:rPr/>
      </w:pPr>
      <w:r>
        <w:rPr/>
      </w:r>
    </w:p>
    <w:p>
      <w:pPr>
        <w:pStyle w:val="Normal"/>
        <w:jc w:val="both"/>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jc w:val="both"/>
        <w:rPr/>
      </w:pPr>
      <w:r>
        <w:rPr/>
      </w:r>
    </w:p>
    <w:p>
      <w:pPr>
        <w:pStyle w:val="Normal"/>
        <w:jc w:val="both"/>
        <w:rPr/>
      </w:pPr>
      <w:r>
        <w:rPr/>
      </w:r>
    </w:p>
    <w:p>
      <w:pPr>
        <w:pStyle w:val="Normal"/>
        <w:jc w:val="both"/>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/mnt/main-storage/datasets/enron-docs/doc/Contingent_Call_Option_Long_Descriptionv3.doc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RC.gov/"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2000-07-14T17:10:00Z</dcterms:created>
  <dc:creator>leslie hansen</dc:creator>
  <dc:description/>
  <dc:language>en-CA</dc:language>
  <cp:lastModifiedBy>leslie hansen</cp:lastModifiedBy>
  <cp:lastPrinted>2000-07-07T15:27:00Z</cp:lastPrinted>
  <dcterms:modified xsi:type="dcterms:W3CDTF">2000-07-17T14:30:00Z</dcterms:modified>
  <cp:revision>4</cp:revision>
  <dc:subject/>
  <dc:title>RELIABLE POWER PRODUCT CALL OPTION AGREEMENT</dc:title>
</cp:coreProperties>
</file>