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2"/>
        <w:spacing w:before="100" w:after="100"/>
        <w:rPr>
          <w:rFonts w:ascii="Tahoma" w:hAnsi="Tahoma" w:cs="Tahoma"/>
          <w:color w:val="000000"/>
          <w:sz w:val="18"/>
        </w:rPr>
      </w:pPr>
      <w:r>
        <w:rPr>
          <w:rFonts w:cs="Tahoma" w:ascii="Tahoma" w:hAnsi="Tahoma"/>
        </w:rPr>
        <w:t>Continental Gas Market</w:t>
      </w:r>
    </w:p>
    <w:p>
      <w:pPr>
        <w:pStyle w:val="H3"/>
        <w:rPr/>
      </w:pPr>
      <w:r>
        <w:rPr/>
        <w:t>Market Hours</w:t>
      </w:r>
    </w:p>
    <w:tbl>
      <w:tblPr>
        <w:tblW w:w="9358" w:type="dxa"/>
        <w:jc w:val="start"/>
        <w:tblInd w:w="30" w:type="dxa"/>
        <w:tblLayout w:type="fixed"/>
        <w:tblCellMar>
          <w:top w:w="0" w:type="dxa"/>
          <w:start w:w="30" w:type="dxa"/>
          <w:bottom w:w="0" w:type="dxa"/>
          <w:end w:w="30" w:type="dxa"/>
        </w:tblCellMar>
      </w:tblPr>
      <w:tblGrid>
        <w:gridCol w:w="2209"/>
        <w:gridCol w:w="860"/>
        <w:gridCol w:w="860"/>
        <w:gridCol w:w="1197"/>
        <w:gridCol w:w="4232"/>
      </w:tblGrid>
      <w:tr>
        <w:trPr/>
        <w:tc>
          <w:tcPr>
            <w:tcW w:w="2209" w:type="dxa"/>
            <w:tcBorders/>
          </w:tcPr>
          <w:p>
            <w:pPr>
              <w:pStyle w:val="Normal"/>
              <w:rPr>
                <w:rFonts w:ascii="Tahoma" w:hAnsi="Tahoma" w:cs="Tahoma"/>
                <w:color w:val="000000"/>
              </w:rPr>
            </w:pPr>
            <w:r>
              <w:rPr>
                <w:rFonts w:cs="Tahoma" w:ascii="Tahoma" w:hAnsi="Tahoma"/>
                <w:b/>
                <w:color w:val="000000"/>
              </w:rPr>
              <w:t>Product Group</w:t>
            </w:r>
          </w:p>
        </w:tc>
        <w:tc>
          <w:tcPr>
            <w:tcW w:w="860" w:type="dxa"/>
            <w:tcBorders/>
          </w:tcPr>
          <w:p>
            <w:pPr>
              <w:pStyle w:val="Normal"/>
              <w:rPr>
                <w:rFonts w:ascii="Tahoma" w:hAnsi="Tahoma" w:cs="Tahoma"/>
                <w:color w:val="000000"/>
              </w:rPr>
            </w:pPr>
            <w:r>
              <w:rPr>
                <w:rFonts w:cs="Tahoma" w:ascii="Tahoma" w:hAnsi="Tahoma"/>
                <w:b/>
                <w:color w:val="000000"/>
              </w:rPr>
              <w:t>From</w:t>
            </w:r>
          </w:p>
        </w:tc>
        <w:tc>
          <w:tcPr>
            <w:tcW w:w="860" w:type="dxa"/>
            <w:tcBorders/>
          </w:tcPr>
          <w:p>
            <w:pPr>
              <w:pStyle w:val="Normal"/>
              <w:rPr>
                <w:rFonts w:ascii="Tahoma" w:hAnsi="Tahoma" w:cs="Tahoma"/>
                <w:color w:val="000000"/>
              </w:rPr>
            </w:pPr>
            <w:r>
              <w:rPr>
                <w:rFonts w:cs="Tahoma" w:ascii="Tahoma" w:hAnsi="Tahoma"/>
                <w:b/>
                <w:color w:val="000000"/>
              </w:rPr>
              <w:t>To</w:t>
            </w:r>
          </w:p>
        </w:tc>
        <w:tc>
          <w:tcPr>
            <w:tcW w:w="1197" w:type="dxa"/>
            <w:tcBorders/>
          </w:tcPr>
          <w:p>
            <w:pPr>
              <w:pStyle w:val="Normal"/>
              <w:rPr>
                <w:rFonts w:ascii="Tahoma" w:hAnsi="Tahoma" w:cs="Tahoma"/>
                <w:color w:val="000000"/>
              </w:rPr>
            </w:pPr>
            <w:r>
              <w:rPr>
                <w:rFonts w:cs="Tahoma" w:ascii="Tahoma" w:hAnsi="Tahoma"/>
                <w:b/>
                <w:color w:val="000000"/>
              </w:rPr>
              <w:t>Days</w:t>
            </w:r>
          </w:p>
        </w:tc>
        <w:tc>
          <w:tcPr>
            <w:tcW w:w="4232" w:type="dxa"/>
            <w:tcBorders/>
          </w:tcPr>
          <w:p>
            <w:pPr>
              <w:pStyle w:val="Normal"/>
              <w:rPr>
                <w:rFonts w:ascii="Tahoma" w:hAnsi="Tahoma" w:cs="Tahoma"/>
                <w:color w:val="000000"/>
              </w:rPr>
            </w:pPr>
            <w:r>
              <w:rPr>
                <w:rFonts w:cs="Tahoma" w:ascii="Tahoma" w:hAnsi="Tahoma"/>
                <w:b/>
                <w:color w:val="000000"/>
              </w:rPr>
              <w:t>Time Zone</w:t>
            </w:r>
          </w:p>
        </w:tc>
      </w:tr>
      <w:tr>
        <w:trPr/>
        <w:tc>
          <w:tcPr>
            <w:tcW w:w="2209" w:type="dxa"/>
            <w:tcBorders/>
          </w:tcPr>
          <w:p>
            <w:pPr>
              <w:pStyle w:val="Normal"/>
              <w:rPr>
                <w:rFonts w:ascii="Tahoma" w:hAnsi="Tahoma" w:cs="Tahoma"/>
                <w:color w:val="000000"/>
              </w:rPr>
            </w:pPr>
            <w:r>
              <w:rPr>
                <w:rFonts w:cs="Tahoma" w:ascii="Tahoma" w:hAnsi="Tahoma"/>
                <w:color w:val="000000"/>
              </w:rPr>
              <w:t>All Products</w:t>
            </w:r>
          </w:p>
        </w:tc>
        <w:tc>
          <w:tcPr>
            <w:tcW w:w="860" w:type="dxa"/>
            <w:tcBorders/>
          </w:tcPr>
          <w:p>
            <w:pPr>
              <w:pStyle w:val="Normal"/>
              <w:rPr>
                <w:rFonts w:ascii="Tahoma" w:hAnsi="Tahoma" w:cs="Tahoma"/>
                <w:color w:val="000000"/>
              </w:rPr>
            </w:pPr>
            <w:r>
              <w:rPr>
                <w:rFonts w:cs="Tahoma" w:ascii="Tahoma" w:hAnsi="Tahoma"/>
                <w:color w:val="000000"/>
              </w:rPr>
              <w:t>08:00</w:t>
            </w:r>
          </w:p>
        </w:tc>
        <w:tc>
          <w:tcPr>
            <w:tcW w:w="860" w:type="dxa"/>
            <w:tcBorders/>
          </w:tcPr>
          <w:p>
            <w:pPr>
              <w:pStyle w:val="Normal"/>
              <w:rPr>
                <w:rFonts w:ascii="Tahoma" w:hAnsi="Tahoma" w:cs="Tahoma"/>
                <w:color w:val="000000"/>
              </w:rPr>
            </w:pPr>
            <w:r>
              <w:rPr>
                <w:rFonts w:cs="Tahoma" w:ascii="Tahoma" w:hAnsi="Tahoma"/>
                <w:color w:val="000000"/>
              </w:rPr>
              <w:t>17:00</w:t>
            </w:r>
          </w:p>
        </w:tc>
        <w:tc>
          <w:tcPr>
            <w:tcW w:w="1197" w:type="dxa"/>
            <w:tcBorders/>
          </w:tcPr>
          <w:p>
            <w:pPr>
              <w:pStyle w:val="Normal"/>
              <w:rPr>
                <w:rFonts w:ascii="Tahoma" w:hAnsi="Tahoma" w:cs="Tahoma"/>
                <w:color w:val="000000"/>
              </w:rPr>
            </w:pPr>
            <w:r>
              <w:rPr>
                <w:rFonts w:cs="Tahoma" w:ascii="Tahoma" w:hAnsi="Tahoma"/>
                <w:color w:val="000000"/>
              </w:rPr>
              <w:t>Mon-Fri</w:t>
            </w:r>
          </w:p>
        </w:tc>
        <w:tc>
          <w:tcPr>
            <w:tcW w:w="4232" w:type="dxa"/>
            <w:tcBorders/>
          </w:tcPr>
          <w:p>
            <w:pPr>
              <w:pStyle w:val="Normal"/>
              <w:rPr>
                <w:rFonts w:ascii="Tahoma" w:hAnsi="Tahoma" w:cs="Tahoma"/>
                <w:color w:val="000000"/>
              </w:rPr>
            </w:pPr>
            <w:r>
              <w:rPr>
                <w:rFonts w:cs="Tahoma" w:ascii="Tahoma" w:hAnsi="Tahoma"/>
                <w:color w:val="000000"/>
              </w:rPr>
              <w:t>Greenwich Mean Time (GMT)</w:t>
            </w:r>
          </w:p>
        </w:tc>
      </w:tr>
    </w:tbl>
    <w:p>
      <w:pPr>
        <w:pStyle w:val="H3"/>
        <w:rPr>
          <w:rFonts w:ascii="Tahoma" w:hAnsi="Tahoma" w:cs="Tahoma"/>
          <w:color w:val="000000"/>
        </w:rPr>
      </w:pPr>
      <w:r>
        <w:rPr>
          <w:rFonts w:cs="Tahoma" w:ascii="Tahoma" w:hAnsi="Tahoma"/>
          <w:color w:val="000000"/>
        </w:rPr>
        <w:t>Background</w:t>
      </w:r>
    </w:p>
    <w:p>
      <w:pPr>
        <w:pStyle w:val="Normal"/>
        <w:rPr>
          <w:rFonts w:ascii="Tahoma" w:hAnsi="Tahoma" w:cs="Tahoma"/>
          <w:color w:val="000000"/>
        </w:rPr>
      </w:pPr>
      <w:r>
        <w:rPr>
          <w:rFonts w:cs="Tahoma" w:ascii="Tahoma" w:hAnsi="Tahoma"/>
          <w:color w:val="000000"/>
        </w:rPr>
        <w:t>The European Continental gas market is characterized by a limited number of participants, many of which have inherited monopoly positions (in terms of transmission, distribution and sales). This has resulted in a lack of transparency in both contracts and prices. Almost all transactions have been completed under long-term contracts between producers, transmission companies, distribution companies and users, and often with high levels of minimum take-or-pay obligations. This structure has restricted the emergence of widespread competition and the development of a short-term trading market.</w:t>
      </w:r>
    </w:p>
    <w:p>
      <w:pPr>
        <w:pStyle w:val="Normal"/>
        <w:rPr>
          <w:rFonts w:ascii="Tahoma" w:hAnsi="Tahoma" w:cs="Tahoma"/>
          <w:color w:val="000000"/>
        </w:rPr>
      </w:pPr>
      <w:r>
        <w:rPr>
          <w:rFonts w:cs="Tahoma" w:ascii="Tahoma" w:hAnsi="Tahoma"/>
          <w:color w:val="000000"/>
        </w:rPr>
        <w:t xml:space="preserve">It is expected in the market that in the short term the overall level of gas prices will tend to be influenced by the price of oil products. </w:t>
      </w:r>
    </w:p>
    <w:p>
      <w:pPr>
        <w:pStyle w:val="Normal"/>
        <w:rPr>
          <w:rFonts w:ascii="Tahoma" w:hAnsi="Tahoma" w:cs="Tahoma"/>
          <w:color w:val="000000"/>
        </w:rPr>
      </w:pPr>
      <w:r>
        <w:rPr>
          <w:rFonts w:cs="Tahoma" w:ascii="Tahoma" w:hAnsi="Tahoma"/>
          <w:color w:val="000000"/>
        </w:rPr>
        <w:t>The EU Gas Directive concerning rules for an internal market in natural gas is to be transposed into national legislation by October 2000. The Gas Directive should therefore be implemented in the EU (and Norway) by late 2000 (Finland, Greece and Portugal have longer periods to comply). The Gas Directive will also have a significant influence on gas sector reforms in those Central and Eastern European countries that become EU Members.</w:t>
      </w:r>
    </w:p>
    <w:p>
      <w:pPr>
        <w:pStyle w:val="Normal"/>
        <w:rPr>
          <w:rFonts w:ascii="Tahoma" w:hAnsi="Tahoma" w:cs="Tahoma"/>
          <w:color w:val="000000"/>
        </w:rPr>
      </w:pPr>
      <w:r>
        <w:rPr>
          <w:rFonts w:cs="Tahoma" w:ascii="Tahoma" w:hAnsi="Tahoma"/>
          <w:color w:val="000000"/>
        </w:rPr>
        <w:t>The Gas Directive sets relatively high level principles and certain minimum standards. Much of its structure is inherited from the 1997 EU Electricity Directive. It does not provide the blueprint for the detail of liberalisation in any one country – this is a matter for the relevant Member State to put into effect. Some Member States, such as the UK, have already liberalized their market to a greater extent than required by the Gas Directive.</w:t>
      </w:r>
    </w:p>
    <w:p>
      <w:pPr>
        <w:pStyle w:val="H3"/>
        <w:rPr>
          <w:rFonts w:ascii="Tahoma" w:hAnsi="Tahoma" w:cs="Tahoma"/>
          <w:color w:val="000000"/>
        </w:rPr>
      </w:pPr>
      <w:r>
        <w:rPr>
          <w:rFonts w:cs="Tahoma" w:ascii="Tahoma" w:hAnsi="Tahoma"/>
          <w:color w:val="000000"/>
        </w:rPr>
        <w:t>Current Market</w:t>
      </w:r>
    </w:p>
    <w:p>
      <w:pPr>
        <w:pStyle w:val="Normal"/>
        <w:rPr>
          <w:rFonts w:ascii="Tahoma" w:hAnsi="Tahoma" w:cs="Tahoma"/>
          <w:color w:val="000000"/>
        </w:rPr>
      </w:pPr>
      <w:r>
        <w:rPr>
          <w:rFonts w:cs="Tahoma" w:ascii="Tahoma" w:hAnsi="Tahoma"/>
          <w:color w:val="000000"/>
        </w:rPr>
        <w:t>A number of factors are now influencing the development of the market. The main factors come from those customers who are now empowered to force changes through on the basis of the Gas Directive. Gas utilities are at the same time required to unbundle their transportation costs from the overall price of gas. Gas-to-gas competition is rising and in Belgium the UK-Continent Interconnector is paving the way as it introduces seasonal arbitrage to the Continent.</w:t>
      </w:r>
    </w:p>
    <w:p>
      <w:pPr>
        <w:pStyle w:val="Normal"/>
        <w:rPr>
          <w:rFonts w:ascii="Tahoma" w:hAnsi="Tahoma" w:cs="Tahoma"/>
          <w:color w:val="000000"/>
        </w:rPr>
      </w:pPr>
      <w:r>
        <w:rPr>
          <w:rFonts w:cs="Tahoma" w:ascii="Tahoma" w:hAnsi="Tahoma"/>
          <w:color w:val="000000"/>
        </w:rPr>
        <w:t>The requirement to unbundle costs, together with the single European currency should result in greater price transparency; this will allow greater price comparison. Customers can now more readily pursue cheaper supply sources. Both producers and end-users seem inclined to move away from oil indices. End-users wish to avoid being locked into long term contracts without any flexibility.</w:t>
      </w:r>
    </w:p>
    <w:p>
      <w:pPr>
        <w:pStyle w:val="Normal"/>
        <w:rPr>
          <w:rFonts w:ascii="Tahoma" w:hAnsi="Tahoma" w:cs="Tahoma"/>
          <w:color w:val="000000"/>
        </w:rPr>
      </w:pPr>
      <w:r>
        <w:rPr>
          <w:rFonts w:cs="Tahoma" w:ascii="Tahoma" w:hAnsi="Tahoma"/>
          <w:color w:val="000000"/>
        </w:rPr>
        <w:t>This will give rise to the need for short term trading and liquidity. This leads to the emergence of hubs to facilitate short term trading and to an increase in price volatility. This in turn requires additional risk management skills and should prompt the gas industry to optimise the use of its assets.</w:t>
      </w:r>
    </w:p>
    <w:p>
      <w:pPr>
        <w:pStyle w:val="Normal"/>
        <w:rPr>
          <w:rFonts w:ascii="Tahoma" w:hAnsi="Tahoma" w:cs="Tahoma"/>
          <w:color w:val="000000"/>
        </w:rPr>
      </w:pPr>
      <w:r>
        <w:rPr>
          <w:rFonts w:cs="Tahoma" w:ascii="Tahoma" w:hAnsi="Tahoma"/>
          <w:color w:val="000000"/>
        </w:rPr>
        <w:t xml:space="preserve">The UK-Belgian Interconnector started to ship gas in October 1998. This has led to the development of reasonable liquidity at Zeebrugge, Belgium. Transactions at Zeebrugge range from cash-settled fixed price swaps, physical index swaps and physical options. Physical swing transactions are also emerging. </w:t>
      </w:r>
    </w:p>
    <w:p>
      <w:pPr>
        <w:pStyle w:val="H3"/>
        <w:rPr>
          <w:rFonts w:ascii="Tahoma" w:hAnsi="Tahoma" w:cs="Tahoma"/>
          <w:color w:val="000000"/>
        </w:rPr>
      </w:pPr>
      <w:r>
        <w:rPr>
          <w:rFonts w:cs="Tahoma" w:ascii="Tahoma" w:hAnsi="Tahoma"/>
          <w:color w:val="000000"/>
        </w:rPr>
        <w:t>Significant Future Developments</w:t>
      </w:r>
    </w:p>
    <w:p>
      <w:pPr>
        <w:pStyle w:val="Normal"/>
        <w:rPr>
          <w:rFonts w:ascii="Tahoma" w:hAnsi="Tahoma" w:cs="Tahoma"/>
          <w:color w:val="000000"/>
        </w:rPr>
      </w:pPr>
      <w:r>
        <w:rPr>
          <w:rFonts w:cs="Tahoma" w:ascii="Tahoma" w:hAnsi="Tahoma"/>
          <w:color w:val="000000"/>
        </w:rPr>
        <w:t>The Gas Directive provides for third party access (TPA) to transmission. Member States can choose two methods of market access – either negotiated access (under which transmission providers must publish the main commercial conditions for use of their system, but where pricing and detailed conditions are the subject of bilateral negotiation), or regulated access (under which third parties will have right of access on the basis of published terms, conditions and prices).</w:t>
      </w:r>
    </w:p>
    <w:p>
      <w:pPr>
        <w:pStyle w:val="Normal"/>
        <w:rPr/>
      </w:pPr>
      <w:r>
        <w:rPr>
          <w:rFonts w:cs="Tahoma" w:ascii="Tahoma" w:hAnsi="Tahoma"/>
          <w:color w:val="000000"/>
        </w:rPr>
        <w:t>The Gas Directive will open the market as follows: from 2000 to 2003, large industrial customers (&gt;25million m</w:t>
      </w:r>
      <w:r>
        <w:rPr>
          <w:rFonts w:cs="Tahoma" w:ascii="Tahoma" w:hAnsi="Tahoma"/>
          <w:sz w:val="18"/>
          <w:vertAlign w:val="superscript"/>
        </w:rPr>
        <w:t>3</w:t>
      </w:r>
      <w:r>
        <w:rPr>
          <w:rFonts w:cs="Tahoma" w:ascii="Tahoma" w:hAnsi="Tahoma"/>
        </w:rPr>
        <w:t>) will, in principle, be free to choose suppliers; from 2003, this will be extended to smaller industrial customers (&gt;15million m</w:t>
      </w:r>
      <w:r>
        <w:rPr>
          <w:rFonts w:cs="Tahoma" w:ascii="Tahoma" w:hAnsi="Tahoma"/>
          <w:sz w:val="18"/>
          <w:vertAlign w:val="superscript"/>
        </w:rPr>
        <w:t>3</w:t>
      </w:r>
      <w:r>
        <w:rPr>
          <w:rFonts w:cs="Tahoma" w:ascii="Tahoma" w:hAnsi="Tahoma"/>
        </w:rPr>
        <w:t>); and from 2008, the customer threshold will be reduced to 5m m</w:t>
      </w:r>
      <w:r>
        <w:rPr>
          <w:rFonts w:cs="Tahoma" w:ascii="Tahoma" w:hAnsi="Tahoma"/>
          <w:sz w:val="18"/>
          <w:vertAlign w:val="superscript"/>
        </w:rPr>
        <w:t>3</w:t>
      </w:r>
      <w:r>
        <w:rPr>
          <w:rFonts w:cs="Tahoma" w:ascii="Tahoma" w:hAnsi="Tahoma"/>
        </w:rPr>
        <w:t>. However, these volumetric thresholds need not be met if the Member State's market opening achieves the levels specified in the Directive of 30% in 2000, 38% in 2003, and 43% from 2008 (separate thresholds may apply in France).</w:t>
      </w:r>
    </w:p>
    <w:p>
      <w:pPr>
        <w:pStyle w:val="Normal"/>
        <w:rPr>
          <w:rFonts w:ascii="Tahoma" w:hAnsi="Tahoma" w:cs="Tahoma"/>
        </w:rPr>
      </w:pPr>
      <w:r>
        <w:rPr>
          <w:rFonts w:cs="Tahoma" w:ascii="Tahoma" w:hAnsi="Tahoma"/>
        </w:rPr>
        <w:t xml:space="preserve">In the meantime, an increase in trading activity is evident at a number of border points e.g., Zelzate (Belgium/Netherlands), Eynatten (Belgium/Germany), Oude-Statenzijl (Germany/Netherlands) and Emden (Germany/Netherlands). Participants include a number of UK gas players and European suppliers. </w:t>
      </w:r>
    </w:p>
    <w:p>
      <w:pPr>
        <w:pStyle w:val="Normal"/>
        <w:rPr>
          <w:rFonts w:ascii="Tahoma" w:hAnsi="Tahoma" w:cs="Tahoma"/>
        </w:rPr>
      </w:pPr>
      <w:r>
        <w:rPr>
          <w:rFonts w:cs="Tahoma" w:ascii="Tahoma" w:hAnsi="Tahoma"/>
        </w:rPr>
        <w:t>An industry contract has been developed to facilitate trading at the Zeebrugge Hub and has been available for deliveries since November 1999. Currently, the hub is providing the gas industry with dispatching, matching and allocation services. This standardisation of the trading terms and conditions has resulted in reasonable liquidity around the Zeebrugge Hub and has a major impact on the development of liquidity at other location in Continental Europe. Currently 19 counterparties have signed up the Hub Agreement:</w:t>
      </w:r>
    </w:p>
    <w:p>
      <w:pPr>
        <w:pStyle w:val="Normal"/>
        <w:rPr>
          <w:rFonts w:ascii="Tahoma" w:hAnsi="Tahoma" w:cs="Tahoma"/>
        </w:rPr>
      </w:pPr>
      <w:r>
        <w:rPr>
          <w:rFonts w:cs="Tahoma" w:ascii="Tahoma" w:hAnsi="Tahoma"/>
        </w:rPr>
      </w:r>
    </w:p>
    <w:p>
      <w:pPr>
        <w:pStyle w:val="Normal"/>
        <w:numPr>
          <w:ilvl w:val="0"/>
          <w:numId w:val="1"/>
        </w:numPr>
        <w:rPr>
          <w:rFonts w:ascii="Tahoma" w:hAnsi="Tahoma" w:cs="Tahoma"/>
        </w:rPr>
      </w:pPr>
      <w:r>
        <w:rPr>
          <w:rFonts w:cs="Tahoma" w:ascii="Tahoma" w:hAnsi="Tahoma"/>
        </w:rPr>
        <w:t>Alliance Gas Limited</w:t>
      </w:r>
    </w:p>
    <w:p>
      <w:pPr>
        <w:pStyle w:val="Normal"/>
        <w:numPr>
          <w:ilvl w:val="0"/>
          <w:numId w:val="1"/>
        </w:numPr>
        <w:rPr>
          <w:rFonts w:ascii="Tahoma" w:hAnsi="Tahoma" w:cs="Tahoma"/>
        </w:rPr>
      </w:pPr>
      <w:r>
        <w:rPr>
          <w:rFonts w:cs="Tahoma" w:ascii="Tahoma" w:hAnsi="Tahoma"/>
        </w:rPr>
        <w:t>BG International Limited</w:t>
      </w:r>
    </w:p>
    <w:p>
      <w:pPr>
        <w:pStyle w:val="Normal"/>
        <w:numPr>
          <w:ilvl w:val="0"/>
          <w:numId w:val="1"/>
        </w:numPr>
        <w:rPr>
          <w:rFonts w:ascii="Tahoma" w:hAnsi="Tahoma" w:cs="Tahoma"/>
        </w:rPr>
      </w:pPr>
      <w:r>
        <w:rPr>
          <w:rFonts w:cs="Tahoma" w:ascii="Tahoma" w:hAnsi="Tahoma"/>
        </w:rPr>
        <w:t>BP Gas Marketing Limited</w:t>
      </w:r>
    </w:p>
    <w:p>
      <w:pPr>
        <w:pStyle w:val="Normal"/>
        <w:numPr>
          <w:ilvl w:val="0"/>
          <w:numId w:val="1"/>
        </w:numPr>
        <w:rPr>
          <w:rFonts w:ascii="Tahoma" w:hAnsi="Tahoma" w:cs="Tahoma"/>
        </w:rPr>
      </w:pPr>
      <w:r>
        <w:rPr>
          <w:rFonts w:cs="Tahoma" w:ascii="Tahoma" w:hAnsi="Tahoma"/>
        </w:rPr>
        <w:t>British Gas Trading</w:t>
      </w:r>
    </w:p>
    <w:p>
      <w:pPr>
        <w:pStyle w:val="Normal"/>
        <w:numPr>
          <w:ilvl w:val="0"/>
          <w:numId w:val="1"/>
        </w:numPr>
        <w:rPr>
          <w:rFonts w:ascii="Tahoma" w:hAnsi="Tahoma" w:cs="Tahoma"/>
        </w:rPr>
      </w:pPr>
      <w:r>
        <w:rPr>
          <w:rFonts w:cs="Tahoma" w:ascii="Tahoma" w:hAnsi="Tahoma"/>
        </w:rPr>
        <w:t>Conoco (UK) Limited</w:t>
      </w:r>
    </w:p>
    <w:p>
      <w:pPr>
        <w:pStyle w:val="Normal"/>
        <w:numPr>
          <w:ilvl w:val="0"/>
          <w:numId w:val="1"/>
        </w:numPr>
        <w:rPr>
          <w:rFonts w:ascii="Tahoma" w:hAnsi="Tahoma" w:cs="Tahoma"/>
        </w:rPr>
      </w:pPr>
      <w:r>
        <w:rPr>
          <w:rFonts w:cs="Tahoma" w:ascii="Tahoma" w:hAnsi="Tahoma"/>
        </w:rPr>
        <w:t>Delta Nutsbedrijven N.V</w:t>
      </w:r>
    </w:p>
    <w:p>
      <w:pPr>
        <w:pStyle w:val="Normal"/>
        <w:numPr>
          <w:ilvl w:val="0"/>
          <w:numId w:val="1"/>
        </w:numPr>
        <w:rPr>
          <w:rFonts w:ascii="Tahoma" w:hAnsi="Tahoma" w:cs="Tahoma"/>
        </w:rPr>
      </w:pPr>
      <w:r>
        <w:rPr>
          <w:rFonts w:cs="Tahoma" w:ascii="Tahoma" w:hAnsi="Tahoma"/>
        </w:rPr>
        <w:t>Distrigas S.A.</w:t>
      </w:r>
    </w:p>
    <w:p>
      <w:pPr>
        <w:pStyle w:val="Normal"/>
        <w:numPr>
          <w:ilvl w:val="0"/>
          <w:numId w:val="1"/>
        </w:numPr>
        <w:rPr>
          <w:rFonts w:ascii="Tahoma" w:hAnsi="Tahoma" w:cs="Tahoma"/>
        </w:rPr>
      </w:pPr>
      <w:r>
        <w:rPr>
          <w:rFonts w:cs="Tahoma" w:ascii="Tahoma" w:hAnsi="Tahoma"/>
        </w:rPr>
        <w:t>Dynegy UK Ltd.</w:t>
      </w:r>
    </w:p>
    <w:p>
      <w:pPr>
        <w:pStyle w:val="Normal"/>
        <w:numPr>
          <w:ilvl w:val="0"/>
          <w:numId w:val="1"/>
        </w:numPr>
        <w:rPr>
          <w:rFonts w:ascii="Tahoma" w:hAnsi="Tahoma" w:cs="Tahoma"/>
        </w:rPr>
      </w:pPr>
      <w:r>
        <w:rPr>
          <w:rFonts w:cs="Tahoma" w:ascii="Tahoma" w:hAnsi="Tahoma"/>
        </w:rPr>
        <w:t>Electrabel</w:t>
      </w:r>
    </w:p>
    <w:p>
      <w:pPr>
        <w:pStyle w:val="Normal"/>
        <w:numPr>
          <w:ilvl w:val="0"/>
          <w:numId w:val="1"/>
        </w:numPr>
        <w:rPr>
          <w:rFonts w:ascii="Tahoma" w:hAnsi="Tahoma" w:cs="Tahoma"/>
        </w:rPr>
      </w:pPr>
      <w:r>
        <w:rPr>
          <w:rFonts w:cs="Tahoma" w:ascii="Tahoma" w:hAnsi="Tahoma"/>
        </w:rPr>
        <w:t>Elf Gas and Power Limited</w:t>
      </w:r>
    </w:p>
    <w:p>
      <w:pPr>
        <w:pStyle w:val="Normal"/>
        <w:numPr>
          <w:ilvl w:val="0"/>
          <w:numId w:val="1"/>
        </w:numPr>
        <w:rPr>
          <w:rFonts w:ascii="Tahoma" w:hAnsi="Tahoma" w:cs="Tahoma"/>
        </w:rPr>
      </w:pPr>
      <w:r>
        <w:rPr>
          <w:rFonts w:cs="Tahoma" w:ascii="Tahoma" w:hAnsi="Tahoma"/>
        </w:rPr>
        <w:t>Enron Europe Limited</w:t>
      </w:r>
    </w:p>
    <w:p>
      <w:pPr>
        <w:pStyle w:val="Normal"/>
        <w:numPr>
          <w:ilvl w:val="0"/>
          <w:numId w:val="1"/>
        </w:numPr>
        <w:rPr>
          <w:rFonts w:ascii="Tahoma" w:hAnsi="Tahoma" w:cs="Tahoma"/>
        </w:rPr>
      </w:pPr>
      <w:r>
        <w:rPr>
          <w:rFonts w:cs="Tahoma" w:ascii="Tahoma" w:hAnsi="Tahoma"/>
        </w:rPr>
        <w:t>Essent Energy Trading B.V.</w:t>
      </w:r>
    </w:p>
    <w:p>
      <w:pPr>
        <w:pStyle w:val="Normal"/>
        <w:numPr>
          <w:ilvl w:val="0"/>
          <w:numId w:val="1"/>
        </w:numPr>
        <w:rPr>
          <w:rFonts w:ascii="Tahoma" w:hAnsi="Tahoma" w:cs="Tahoma"/>
        </w:rPr>
      </w:pPr>
      <w:r>
        <w:rPr>
          <w:rFonts w:cs="Tahoma" w:ascii="Tahoma" w:hAnsi="Tahoma"/>
        </w:rPr>
        <w:t xml:space="preserve">Mobil Europe Gas Inc. </w:t>
      </w:r>
    </w:p>
    <w:p>
      <w:pPr>
        <w:pStyle w:val="Normal"/>
        <w:numPr>
          <w:ilvl w:val="0"/>
          <w:numId w:val="1"/>
        </w:numPr>
        <w:rPr>
          <w:rFonts w:ascii="Tahoma" w:hAnsi="Tahoma" w:cs="Tahoma"/>
        </w:rPr>
      </w:pPr>
      <w:r>
        <w:rPr>
          <w:rFonts w:cs="Tahoma" w:ascii="Tahoma" w:hAnsi="Tahoma"/>
        </w:rPr>
        <w:t>Norsk Hydro Energy B.V.</w:t>
      </w:r>
    </w:p>
    <w:p>
      <w:pPr>
        <w:pStyle w:val="Normal"/>
        <w:numPr>
          <w:ilvl w:val="0"/>
          <w:numId w:val="1"/>
        </w:numPr>
        <w:rPr>
          <w:rFonts w:ascii="Tahoma" w:hAnsi="Tahoma" w:cs="Tahoma"/>
        </w:rPr>
      </w:pPr>
      <w:r>
        <w:rPr>
          <w:rFonts w:cs="Tahoma" w:ascii="Tahoma" w:hAnsi="Tahoma"/>
        </w:rPr>
        <w:t>PowerGen UK Plc.</w:t>
      </w:r>
    </w:p>
    <w:p>
      <w:pPr>
        <w:pStyle w:val="Normal"/>
        <w:numPr>
          <w:ilvl w:val="0"/>
          <w:numId w:val="1"/>
        </w:numPr>
        <w:rPr>
          <w:rFonts w:ascii="Tahoma" w:hAnsi="Tahoma" w:cs="Tahoma"/>
        </w:rPr>
      </w:pPr>
      <w:r>
        <w:rPr>
          <w:rFonts w:cs="Tahoma" w:ascii="Tahoma" w:hAnsi="Tahoma"/>
        </w:rPr>
        <w:t>Sempra Energy Europe</w:t>
      </w:r>
    </w:p>
    <w:p>
      <w:pPr>
        <w:pStyle w:val="Normal"/>
        <w:numPr>
          <w:ilvl w:val="0"/>
          <w:numId w:val="1"/>
        </w:numPr>
        <w:rPr>
          <w:rFonts w:ascii="Tahoma" w:hAnsi="Tahoma" w:cs="Tahoma"/>
        </w:rPr>
      </w:pPr>
      <w:r>
        <w:rPr>
          <w:rFonts w:cs="Tahoma" w:ascii="Tahoma" w:hAnsi="Tahoma"/>
        </w:rPr>
        <w:t>Société Générale</w:t>
      </w:r>
    </w:p>
    <w:p>
      <w:pPr>
        <w:pStyle w:val="Normal"/>
        <w:numPr>
          <w:ilvl w:val="0"/>
          <w:numId w:val="1"/>
        </w:numPr>
        <w:rPr>
          <w:rFonts w:ascii="Tahoma" w:hAnsi="Tahoma" w:cs="Tahoma"/>
        </w:rPr>
      </w:pPr>
      <w:r>
        <w:rPr>
          <w:rFonts w:cs="Tahoma" w:ascii="Tahoma" w:hAnsi="Tahoma"/>
        </w:rPr>
        <w:t>TXU Europe Energy Trading B.V.</w:t>
      </w:r>
    </w:p>
    <w:p>
      <w:pPr>
        <w:pStyle w:val="Normal"/>
        <w:numPr>
          <w:ilvl w:val="0"/>
          <w:numId w:val="1"/>
        </w:numPr>
        <w:rPr>
          <w:rFonts w:ascii="Tahoma" w:hAnsi="Tahoma" w:cs="Tahoma"/>
        </w:rPr>
      </w:pPr>
      <w:r>
        <w:rPr>
          <w:rFonts w:cs="Tahoma" w:ascii="Tahoma" w:hAnsi="Tahoma"/>
        </w:rPr>
        <w:t>Vitol S.A.</w:t>
      </w:r>
    </w:p>
    <w:p>
      <w:pPr>
        <w:pStyle w:val="Normal"/>
        <w:rPr>
          <w:rFonts w:ascii="Tahoma" w:hAnsi="Tahoma" w:cs="Tahoma"/>
        </w:rPr>
      </w:pPr>
      <w:r>
        <w:rPr>
          <w:rFonts w:cs="Tahoma" w:ascii="Tahoma" w:hAnsi="Tahoma"/>
        </w:rPr>
      </w:r>
    </w:p>
    <w:p>
      <w:pPr>
        <w:pStyle w:val="H3"/>
        <w:rPr>
          <w:rFonts w:ascii="Tahoma" w:hAnsi="Tahoma" w:cs="Tahoma"/>
        </w:rPr>
      </w:pPr>
      <w:r>
        <w:rPr>
          <w:rFonts w:cs="Tahoma" w:ascii="Tahoma" w:hAnsi="Tahoma"/>
        </w:rPr>
        <w:t>Current Regulatory Environment</w:t>
      </w:r>
    </w:p>
    <w:p>
      <w:pPr>
        <w:pStyle w:val="Normal"/>
        <w:rPr>
          <w:rFonts w:ascii="Tahoma" w:hAnsi="Tahoma" w:cs="Tahoma"/>
        </w:rPr>
      </w:pPr>
      <w:r>
        <w:rPr>
          <w:rFonts w:cs="Tahoma" w:ascii="Tahoma" w:hAnsi="Tahoma"/>
        </w:rPr>
        <w:t>Many of the EU Member States have commissioned studies and reviews of the proposals under the Gas Directive. The UK has already met the main elements of the Gas Directive and a number of Dutch end-users are enjoying certain freedom of choice with further reform expected. In Germany, the Verbändevereinbarung or Associations Agreement, is being negotiated between major industry trade associations and is expected to provide a framework for TPA. However, according to the German government's energy proposals in April 1999, reasonable third party access should immediately be made available.</w:t>
      </w:r>
    </w:p>
    <w:p>
      <w:pPr>
        <w:pStyle w:val="Normal"/>
        <w:rPr>
          <w:rFonts w:ascii="Tahoma" w:hAnsi="Tahoma" w:cs="Tahoma"/>
        </w:rPr>
      </w:pPr>
      <w:r>
        <w:rPr>
          <w:rFonts w:cs="Tahoma" w:ascii="Tahoma" w:hAnsi="Tahoma"/>
        </w:rPr>
        <w:t>Environmental legislation and the liberalisation of the energy utility industry continue to exert pressures on the gas industry. Electricity liberalisation tends to favour the development of combined cycle power plants since this offers the lowest capital expenditure and the shortest lead-time to commercial start up. Clean air legislation in Europe has also promoted gas generation.</w:t>
      </w:r>
    </w:p>
    <w:p>
      <w:pPr>
        <w:pStyle w:val="H3"/>
        <w:rPr>
          <w:rFonts w:ascii="Tahoma" w:hAnsi="Tahoma" w:cs="Tahoma"/>
        </w:rPr>
      </w:pPr>
      <w:r>
        <w:rPr>
          <w:rFonts w:cs="Tahoma" w:ascii="Tahoma" w:hAnsi="Tahoma"/>
        </w:rPr>
        <w:t>Market Conventions</w:t>
      </w:r>
    </w:p>
    <w:p>
      <w:pPr>
        <w:pStyle w:val="Normal"/>
        <w:rPr>
          <w:rFonts w:ascii="Tahoma" w:hAnsi="Tahoma" w:cs="Tahoma"/>
        </w:rPr>
      </w:pPr>
      <w:r>
        <w:rPr>
          <w:rFonts w:cs="Tahoma" w:ascii="Tahoma" w:hAnsi="Tahoma"/>
        </w:rPr>
        <w:t>While most of the UK players prefer to trade in pence per therm at Zeebrugge, the Continental players trade in gigajoule (GJ) or kilowatthours (kWh); consequently, the Euro/GJ is the standard unit in the Zeebrugge Hub contract. Enron is market maker in therms, gigajoule, and kilowatthours. Significant volumes (up to 50,000GJ/day) are common and trading periods range from one day to 5 years, although most trades are for periods of less than 6 months. As yet, there are few financial gas transactions. In contrast with the UK gas market, most trades are concluded directly between the parties, with only few being done through brokers.</w:t>
      </w:r>
    </w:p>
    <w:p>
      <w:pPr>
        <w:pStyle w:val="Normal"/>
        <w:rPr>
          <w:rFonts w:ascii="Tahoma" w:hAnsi="Tahoma" w:cs="Tahoma"/>
        </w:rPr>
      </w:pPr>
      <w:r>
        <w:rPr>
          <w:rFonts w:cs="Tahoma" w:ascii="Tahoma" w:hAnsi="Tahoma"/>
        </w:rPr>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character" w:styleId="WW8Num1z0">
    <w:name w:val="WW8Num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2">
    <w:name w:val="H2"/>
    <w:basedOn w:val="Normal"/>
    <w:next w:val="Normal"/>
    <w:qFormat/>
    <w:pPr>
      <w:keepNext w:val="true"/>
      <w:spacing w:before="100" w:after="100"/>
      <w:outlineLvl w:val="2"/>
    </w:pPr>
    <w:rPr>
      <w:b/>
      <w:sz w:val="36"/>
      <w:lang w:eastAsia="en-US"/>
    </w:rPr>
  </w:style>
  <w:style w:type="paragraph" w:styleId="H3">
    <w:name w:val="H3"/>
    <w:basedOn w:val="Normal"/>
    <w:next w:val="Normal"/>
    <w:qFormat/>
    <w:pPr>
      <w:keepNext w:val="true"/>
      <w:spacing w:before="100" w:after="100"/>
      <w:outlineLvl w:val="3"/>
    </w:pPr>
    <w:rPr>
      <w:b/>
      <w:sz w:val="28"/>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2000-06-05T06:49:00Z</dcterms:created>
  <dc:creator>SSimunov</dc:creator>
  <dc:description/>
  <dc:language>en-CA</dc:language>
  <cp:lastModifiedBy>CSterz</cp:lastModifiedBy>
  <cp:lastPrinted>2000-05-30T09:54:00Z</cp:lastPrinted>
  <dcterms:modified xsi:type="dcterms:W3CDTF">2000-06-05T15:07:00Z</dcterms:modified>
  <cp:revision>5</cp:revision>
  <dc:subject/>
  <dc:title>Belgian Gas Market</dc:title>
</cp:coreProperties>
</file>